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EC20" w14:textId="77777777" w:rsidR="00DE7F18" w:rsidRDefault="00DE7F18">
      <w:pPr>
        <w:pBdr>
          <w:top w:val="nil"/>
          <w:left w:val="nil"/>
          <w:bottom w:val="nil"/>
          <w:right w:val="nil"/>
          <w:between w:val="nil"/>
        </w:pBdr>
        <w:rPr>
          <w:b/>
          <w:sz w:val="28"/>
          <w:szCs w:val="28"/>
        </w:rPr>
      </w:pPr>
    </w:p>
    <w:p w14:paraId="4E8C7E3C" w14:textId="77777777" w:rsidR="00DE7F18" w:rsidRDefault="00DE3953">
      <w:pPr>
        <w:pBdr>
          <w:top w:val="nil"/>
          <w:left w:val="nil"/>
          <w:bottom w:val="nil"/>
          <w:right w:val="nil"/>
          <w:between w:val="nil"/>
        </w:pBdr>
        <w:rPr>
          <w:b/>
          <w:sz w:val="28"/>
          <w:szCs w:val="28"/>
        </w:rPr>
      </w:pPr>
      <w:r>
        <w:rPr>
          <w:b/>
          <w:sz w:val="28"/>
          <w:szCs w:val="28"/>
        </w:rPr>
        <w:t>Title: Labor Strife in Colorado: Comparing the Ludlow Massacre and the Columbine Mine Strike</w:t>
      </w:r>
    </w:p>
    <w:p w14:paraId="7ED3B250" w14:textId="77777777" w:rsidR="00DE7F18" w:rsidRDefault="00DE7F18">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E7F18" w14:paraId="54E3D2D4" w14:textId="77777777">
        <w:tc>
          <w:tcPr>
            <w:tcW w:w="10140" w:type="dxa"/>
            <w:shd w:val="clear" w:color="auto" w:fill="D9EAD3"/>
            <w:tcMar>
              <w:top w:w="100" w:type="dxa"/>
              <w:left w:w="100" w:type="dxa"/>
              <w:bottom w:w="100" w:type="dxa"/>
              <w:right w:w="100" w:type="dxa"/>
            </w:tcMar>
          </w:tcPr>
          <w:p w14:paraId="1A6CA432" w14:textId="77777777" w:rsidR="00DE7F18" w:rsidRDefault="00DE3953">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431BDF7D" w14:textId="77777777" w:rsidR="00DE7F18" w:rsidRDefault="00DE7F18">
      <w:pPr>
        <w:pBdr>
          <w:top w:val="nil"/>
          <w:left w:val="nil"/>
          <w:bottom w:val="nil"/>
          <w:right w:val="nil"/>
          <w:between w:val="nil"/>
        </w:pBdr>
        <w:rPr>
          <w:i/>
          <w:color w:val="FF0000"/>
        </w:rPr>
      </w:pPr>
    </w:p>
    <w:p w14:paraId="1F599B66" w14:textId="77777777" w:rsidR="00DE7F18" w:rsidRDefault="00DE3953">
      <w:pPr>
        <w:pBdr>
          <w:top w:val="nil"/>
          <w:left w:val="nil"/>
          <w:bottom w:val="nil"/>
          <w:right w:val="nil"/>
          <w:between w:val="nil"/>
        </w:pBdr>
        <w:rPr>
          <w:b/>
        </w:rPr>
      </w:pPr>
      <w:bookmarkStart w:id="0" w:name="blm2eldkipfz" w:colFirst="0" w:colLast="0"/>
      <w:bookmarkEnd w:id="0"/>
      <w:r>
        <w:rPr>
          <w:b/>
          <w:color w:val="274E13"/>
          <w:sz w:val="28"/>
          <w:szCs w:val="28"/>
        </w:rPr>
        <w:t>Overview</w:t>
      </w:r>
    </w:p>
    <w:p w14:paraId="4BAB5B7D" w14:textId="77777777" w:rsidR="00DE7F18" w:rsidRDefault="00DE7F18">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DE7F18" w14:paraId="031EB073" w14:textId="77777777">
        <w:tc>
          <w:tcPr>
            <w:tcW w:w="2160" w:type="dxa"/>
            <w:shd w:val="clear" w:color="auto" w:fill="auto"/>
            <w:tcMar>
              <w:top w:w="100" w:type="dxa"/>
              <w:left w:w="100" w:type="dxa"/>
              <w:bottom w:w="100" w:type="dxa"/>
              <w:right w:w="100" w:type="dxa"/>
            </w:tcMar>
          </w:tcPr>
          <w:p w14:paraId="07E1B689" w14:textId="77777777" w:rsidR="00DE7F18" w:rsidRDefault="00DE3953">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9245D5D" w14:textId="77777777" w:rsidR="00DE7F18" w:rsidRDefault="00DE3953">
            <w:pPr>
              <w:widowControl w:val="0"/>
              <w:pBdr>
                <w:top w:val="nil"/>
                <w:left w:val="nil"/>
                <w:bottom w:val="nil"/>
                <w:right w:val="nil"/>
                <w:between w:val="nil"/>
              </w:pBdr>
              <w:spacing w:line="240" w:lineRule="auto"/>
            </w:pPr>
            <w:r>
              <w:t>This lesson will help students get a sense of Industrialization in America in the early 20th century. They will describe similarities and differences between the miners strike in Ludlow Colorado (1914) and the miners strike in Lafayette Colorado (1927). It</w:t>
            </w:r>
            <w:r>
              <w:t xml:space="preserve"> can also be adapted to the Progressive Era. Students should come away with an understanding of labor, capital, and the emergence of labor unions as forces in American History. </w:t>
            </w:r>
          </w:p>
        </w:tc>
      </w:tr>
      <w:tr w:rsidR="00DE7F18" w14:paraId="311E4A52" w14:textId="77777777">
        <w:tc>
          <w:tcPr>
            <w:tcW w:w="2160" w:type="dxa"/>
            <w:shd w:val="clear" w:color="auto" w:fill="auto"/>
            <w:tcMar>
              <w:top w:w="100" w:type="dxa"/>
              <w:left w:w="100" w:type="dxa"/>
              <w:bottom w:w="100" w:type="dxa"/>
              <w:right w:w="100" w:type="dxa"/>
            </w:tcMar>
          </w:tcPr>
          <w:p w14:paraId="4B63E266" w14:textId="77777777" w:rsidR="00DE7F18" w:rsidRDefault="00DE3953">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51F14CDB" w14:textId="77777777" w:rsidR="00DE7F18" w:rsidRDefault="00DE3953">
            <w:pPr>
              <w:widowControl w:val="0"/>
              <w:pBdr>
                <w:top w:val="nil"/>
                <w:left w:val="nil"/>
                <w:bottom w:val="nil"/>
                <w:right w:val="nil"/>
                <w:between w:val="nil"/>
              </w:pBdr>
              <w:spacing w:line="240" w:lineRule="auto"/>
            </w:pPr>
            <w:r>
              <w:t>Michael Codrey, New Vista High School</w:t>
            </w:r>
          </w:p>
        </w:tc>
      </w:tr>
      <w:tr w:rsidR="00DE7F18" w14:paraId="1B07725D" w14:textId="77777777">
        <w:tc>
          <w:tcPr>
            <w:tcW w:w="2160" w:type="dxa"/>
            <w:shd w:val="clear" w:color="auto" w:fill="auto"/>
            <w:tcMar>
              <w:top w:w="100" w:type="dxa"/>
              <w:left w:w="100" w:type="dxa"/>
              <w:bottom w:w="100" w:type="dxa"/>
              <w:right w:w="100" w:type="dxa"/>
            </w:tcMar>
          </w:tcPr>
          <w:p w14:paraId="721600AE" w14:textId="77777777" w:rsidR="00DE7F18" w:rsidRDefault="00DE3953">
            <w:pPr>
              <w:widowControl w:val="0"/>
              <w:pBdr>
                <w:top w:val="nil"/>
                <w:left w:val="nil"/>
                <w:bottom w:val="nil"/>
                <w:right w:val="nil"/>
                <w:between w:val="nil"/>
              </w:pBdr>
              <w:spacing w:line="240" w:lineRule="auto"/>
              <w:rPr>
                <w:b/>
              </w:rPr>
            </w:pPr>
            <w:r>
              <w:rPr>
                <w:b/>
              </w:rPr>
              <w:t>Grade Level/</w:t>
            </w:r>
          </w:p>
          <w:p w14:paraId="51250BB2" w14:textId="77777777" w:rsidR="00DE7F18" w:rsidRDefault="00DE3953">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153E8881" w14:textId="77777777" w:rsidR="00DE7F18" w:rsidRDefault="00DE3953">
            <w:pPr>
              <w:widowControl w:val="0"/>
              <w:pBdr>
                <w:top w:val="nil"/>
                <w:left w:val="nil"/>
                <w:bottom w:val="nil"/>
                <w:right w:val="nil"/>
                <w:between w:val="nil"/>
              </w:pBdr>
              <w:spacing w:line="240" w:lineRule="auto"/>
            </w:pPr>
            <w:r>
              <w:t>High School, US History or Colorado History</w:t>
            </w:r>
          </w:p>
        </w:tc>
      </w:tr>
      <w:tr w:rsidR="00DE7F18" w14:paraId="5D8D0FAE" w14:textId="77777777">
        <w:tc>
          <w:tcPr>
            <w:tcW w:w="2160" w:type="dxa"/>
            <w:shd w:val="clear" w:color="auto" w:fill="auto"/>
            <w:tcMar>
              <w:top w:w="100" w:type="dxa"/>
              <w:left w:w="100" w:type="dxa"/>
              <w:bottom w:w="100" w:type="dxa"/>
              <w:right w:w="100" w:type="dxa"/>
            </w:tcMar>
          </w:tcPr>
          <w:p w14:paraId="07BB27CA" w14:textId="77777777" w:rsidR="00DE7F18" w:rsidRDefault="00DE3953">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31F2273B" w14:textId="77777777" w:rsidR="00DE7F18" w:rsidRDefault="00DE3953">
            <w:pPr>
              <w:widowControl w:val="0"/>
              <w:pBdr>
                <w:top w:val="nil"/>
                <w:left w:val="nil"/>
                <w:bottom w:val="nil"/>
                <w:right w:val="nil"/>
                <w:between w:val="nil"/>
              </w:pBdr>
              <w:spacing w:line="240" w:lineRule="auto"/>
            </w:pPr>
            <w:r>
              <w:t>(BVSD Evidence Outcomes) 1.C</w:t>
            </w:r>
          </w:p>
          <w:p w14:paraId="31D7DAC6" w14:textId="77777777" w:rsidR="00DE7F18" w:rsidRDefault="00DE3953">
            <w:pPr>
              <w:widowControl w:val="0"/>
              <w:pBdr>
                <w:top w:val="nil"/>
                <w:left w:val="nil"/>
                <w:bottom w:val="nil"/>
                <w:right w:val="nil"/>
                <w:between w:val="nil"/>
              </w:pBdr>
              <w:spacing w:line="240" w:lineRule="auto"/>
            </w:pPr>
            <w:r>
              <w:t>Construct and defend a written historical argument using</w:t>
            </w:r>
          </w:p>
          <w:p w14:paraId="40F0BDB0" w14:textId="77777777" w:rsidR="00DE7F18" w:rsidRDefault="00DE3953">
            <w:pPr>
              <w:widowControl w:val="0"/>
              <w:pBdr>
                <w:top w:val="nil"/>
                <w:left w:val="nil"/>
                <w:bottom w:val="nil"/>
                <w:right w:val="nil"/>
                <w:between w:val="nil"/>
              </w:pBdr>
              <w:spacing w:line="240" w:lineRule="auto"/>
            </w:pPr>
            <w:r>
              <w:t>relevant primary and secondary sources as evidence.</w:t>
            </w:r>
          </w:p>
          <w:p w14:paraId="6EA9E805" w14:textId="77777777" w:rsidR="00DE7F18" w:rsidRDefault="00DE3953">
            <w:pPr>
              <w:widowControl w:val="0"/>
              <w:pBdr>
                <w:top w:val="nil"/>
                <w:left w:val="nil"/>
                <w:bottom w:val="nil"/>
                <w:right w:val="nil"/>
                <w:between w:val="nil"/>
              </w:pBdr>
              <w:spacing w:line="240" w:lineRule="auto"/>
            </w:pPr>
            <w:r>
              <w:t>(DOK 1-4)</w:t>
            </w:r>
          </w:p>
          <w:p w14:paraId="0736F4EA" w14:textId="77777777" w:rsidR="00DE7F18" w:rsidRDefault="00DE7F18">
            <w:pPr>
              <w:widowControl w:val="0"/>
              <w:pBdr>
                <w:top w:val="nil"/>
                <w:left w:val="nil"/>
                <w:bottom w:val="nil"/>
                <w:right w:val="nil"/>
                <w:between w:val="nil"/>
              </w:pBdr>
              <w:spacing w:line="240" w:lineRule="auto"/>
            </w:pPr>
          </w:p>
          <w:p w14:paraId="625E7A77" w14:textId="77777777" w:rsidR="00DE7F18" w:rsidRDefault="00DE3953">
            <w:pPr>
              <w:widowControl w:val="0"/>
              <w:pBdr>
                <w:top w:val="nil"/>
                <w:left w:val="nil"/>
                <w:bottom w:val="nil"/>
                <w:right w:val="nil"/>
                <w:between w:val="nil"/>
              </w:pBdr>
              <w:spacing w:line="240" w:lineRule="auto"/>
            </w:pPr>
            <w:r>
              <w:t xml:space="preserve">“I Can”... Describe similarities and differences between the Miners Strike in Ludlow Colorado (1914) and the Miners Strike in Lafayette Colorado (1927) by reviewing a Powerpoint, engaging in a class discussion, and creating an independent creative writing </w:t>
            </w:r>
            <w:r>
              <w:t>response defending the “Miners or the Owners” of the respective Miners strikes.</w:t>
            </w:r>
          </w:p>
        </w:tc>
      </w:tr>
      <w:tr w:rsidR="00DE7F18" w14:paraId="0FBB687F" w14:textId="77777777">
        <w:tc>
          <w:tcPr>
            <w:tcW w:w="2160" w:type="dxa"/>
            <w:shd w:val="clear" w:color="auto" w:fill="auto"/>
            <w:tcMar>
              <w:top w:w="100" w:type="dxa"/>
              <w:left w:w="100" w:type="dxa"/>
              <w:bottom w:w="100" w:type="dxa"/>
              <w:right w:w="100" w:type="dxa"/>
            </w:tcMar>
          </w:tcPr>
          <w:p w14:paraId="079F67FF" w14:textId="77777777" w:rsidR="00DE7F18" w:rsidRDefault="00DE3953">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096556B1" w14:textId="77777777" w:rsidR="00DE7F18" w:rsidRDefault="00DE3953">
            <w:pPr>
              <w:widowControl w:val="0"/>
              <w:pBdr>
                <w:top w:val="nil"/>
                <w:left w:val="nil"/>
                <w:bottom w:val="nil"/>
                <w:right w:val="nil"/>
                <w:between w:val="nil"/>
              </w:pBdr>
              <w:spacing w:line="240" w:lineRule="auto"/>
            </w:pPr>
            <w:r>
              <w:t xml:space="preserve">One Class Period </w:t>
            </w:r>
          </w:p>
        </w:tc>
      </w:tr>
      <w:tr w:rsidR="00DE7F18" w14:paraId="21C689E4" w14:textId="77777777">
        <w:tc>
          <w:tcPr>
            <w:tcW w:w="2160" w:type="dxa"/>
            <w:shd w:val="clear" w:color="auto" w:fill="auto"/>
            <w:tcMar>
              <w:top w:w="100" w:type="dxa"/>
              <w:left w:w="100" w:type="dxa"/>
              <w:bottom w:w="100" w:type="dxa"/>
              <w:right w:w="100" w:type="dxa"/>
            </w:tcMar>
          </w:tcPr>
          <w:p w14:paraId="23A47959" w14:textId="77777777" w:rsidR="00DE7F18" w:rsidRDefault="00DE3953">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77D0216C" w14:textId="77777777" w:rsidR="00DE7F18" w:rsidRDefault="00DE3953">
            <w:pPr>
              <w:widowControl w:val="0"/>
              <w:pBdr>
                <w:top w:val="nil"/>
                <w:left w:val="nil"/>
                <w:bottom w:val="nil"/>
                <w:right w:val="nil"/>
                <w:between w:val="nil"/>
              </w:pBdr>
              <w:spacing w:line="240" w:lineRule="auto"/>
            </w:pPr>
            <w:r>
              <w:t>Labor unions/strikes, mining</w:t>
            </w:r>
          </w:p>
          <w:p w14:paraId="069F2120" w14:textId="77777777" w:rsidR="00DE7F18" w:rsidRDefault="00DE3953">
            <w:pPr>
              <w:widowControl w:val="0"/>
              <w:pBdr>
                <w:top w:val="nil"/>
                <w:left w:val="nil"/>
                <w:bottom w:val="nil"/>
                <w:right w:val="nil"/>
                <w:between w:val="nil"/>
              </w:pBdr>
              <w:spacing w:line="240" w:lineRule="auto"/>
            </w:pPr>
            <w:r>
              <w:t xml:space="preserve">Outline topics:  Coal mining; Labor unions and strikes </w:t>
            </w:r>
          </w:p>
        </w:tc>
      </w:tr>
      <w:tr w:rsidR="00DE7F18" w14:paraId="70499D6A" w14:textId="77777777">
        <w:tc>
          <w:tcPr>
            <w:tcW w:w="2160" w:type="dxa"/>
            <w:shd w:val="clear" w:color="auto" w:fill="auto"/>
            <w:tcMar>
              <w:top w:w="100" w:type="dxa"/>
              <w:left w:w="100" w:type="dxa"/>
              <w:bottom w:w="100" w:type="dxa"/>
              <w:right w:w="100" w:type="dxa"/>
            </w:tcMar>
          </w:tcPr>
          <w:p w14:paraId="58A4AB52" w14:textId="77777777" w:rsidR="00DE7F18" w:rsidRDefault="00DE3953">
            <w:pPr>
              <w:widowControl w:val="0"/>
              <w:pBdr>
                <w:top w:val="nil"/>
                <w:left w:val="nil"/>
                <w:bottom w:val="nil"/>
                <w:right w:val="nil"/>
                <w:between w:val="nil"/>
              </w:pBdr>
              <w:spacing w:line="240" w:lineRule="auto"/>
            </w:pPr>
            <w:r>
              <w:rPr>
                <w:b/>
              </w:rPr>
              <w:t>Time Periods</w:t>
            </w:r>
          </w:p>
        </w:tc>
        <w:tc>
          <w:tcPr>
            <w:tcW w:w="7770" w:type="dxa"/>
            <w:shd w:val="clear" w:color="auto" w:fill="auto"/>
            <w:tcMar>
              <w:top w:w="100" w:type="dxa"/>
              <w:left w:w="100" w:type="dxa"/>
              <w:bottom w:w="100" w:type="dxa"/>
              <w:right w:w="100" w:type="dxa"/>
            </w:tcMar>
          </w:tcPr>
          <w:p w14:paraId="404D4B2C" w14:textId="77777777" w:rsidR="00DE7F18" w:rsidRDefault="00DE3953">
            <w:pPr>
              <w:widowControl w:val="0"/>
              <w:pBdr>
                <w:top w:val="nil"/>
                <w:left w:val="nil"/>
                <w:bottom w:val="nil"/>
                <w:right w:val="nil"/>
                <w:between w:val="nil"/>
              </w:pBdr>
              <w:spacing w:line="240" w:lineRule="auto"/>
            </w:pPr>
            <w:r>
              <w:t>1900s-1910s; 1920s-1930s</w:t>
            </w:r>
          </w:p>
        </w:tc>
      </w:tr>
      <w:tr w:rsidR="00DE7F18" w14:paraId="65794313" w14:textId="77777777">
        <w:tc>
          <w:tcPr>
            <w:tcW w:w="2160" w:type="dxa"/>
            <w:shd w:val="clear" w:color="auto" w:fill="auto"/>
            <w:tcMar>
              <w:top w:w="100" w:type="dxa"/>
              <w:left w:w="100" w:type="dxa"/>
              <w:bottom w:w="100" w:type="dxa"/>
              <w:right w:w="100" w:type="dxa"/>
            </w:tcMar>
          </w:tcPr>
          <w:p w14:paraId="5328E1D2" w14:textId="77777777" w:rsidR="00DE7F18" w:rsidRDefault="00DE3953">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626C07EF" w14:textId="77777777" w:rsidR="00DE7F18" w:rsidRDefault="00DE3953">
            <w:pPr>
              <w:widowControl w:val="0"/>
              <w:pBdr>
                <w:top w:val="nil"/>
                <w:left w:val="nil"/>
                <w:bottom w:val="nil"/>
                <w:right w:val="nil"/>
                <w:between w:val="nil"/>
              </w:pBdr>
              <w:spacing w:line="240" w:lineRule="auto"/>
            </w:pPr>
            <w:r>
              <w:t>US History, Colorado History, labor, capital, industrialization, Progressive movement, unions, strikes, mining, coal mining, Ludlow Massacre, Ludlow strike, Columbine strike</w:t>
            </w:r>
          </w:p>
        </w:tc>
      </w:tr>
    </w:tbl>
    <w:p w14:paraId="780F1547" w14:textId="77777777" w:rsidR="00DE7F18" w:rsidRDefault="00DE7F18">
      <w:pPr>
        <w:pBdr>
          <w:top w:val="nil"/>
          <w:left w:val="nil"/>
          <w:bottom w:val="nil"/>
          <w:right w:val="nil"/>
          <w:between w:val="nil"/>
        </w:pBdr>
      </w:pPr>
    </w:p>
    <w:p w14:paraId="75B03BC7" w14:textId="77777777" w:rsidR="00DE7F18" w:rsidRDefault="00DE7F18">
      <w:pPr>
        <w:pBdr>
          <w:top w:val="nil"/>
          <w:left w:val="nil"/>
          <w:bottom w:val="nil"/>
          <w:right w:val="nil"/>
          <w:between w:val="nil"/>
        </w:pBdr>
      </w:pPr>
    </w:p>
    <w:p w14:paraId="04F22C38" w14:textId="77777777" w:rsidR="00DE7F18" w:rsidRDefault="00DE7F18">
      <w:pPr>
        <w:pBdr>
          <w:top w:val="nil"/>
          <w:left w:val="nil"/>
          <w:bottom w:val="nil"/>
          <w:right w:val="nil"/>
          <w:between w:val="nil"/>
        </w:pBdr>
      </w:pPr>
    </w:p>
    <w:p w14:paraId="59971B9C" w14:textId="77777777" w:rsidR="00DE7F18" w:rsidRDefault="00DE7F18">
      <w:pPr>
        <w:pBdr>
          <w:top w:val="nil"/>
          <w:left w:val="nil"/>
          <w:bottom w:val="nil"/>
          <w:right w:val="nil"/>
          <w:between w:val="nil"/>
        </w:pBdr>
      </w:pPr>
    </w:p>
    <w:p w14:paraId="150B2384" w14:textId="77777777" w:rsidR="00DE7F18" w:rsidRDefault="00DE3953">
      <w:pPr>
        <w:pBdr>
          <w:top w:val="nil"/>
          <w:left w:val="nil"/>
          <w:bottom w:val="nil"/>
          <w:right w:val="nil"/>
          <w:between w:val="nil"/>
        </w:pBdr>
        <w:rPr>
          <w:i/>
          <w:color w:val="FF0000"/>
        </w:rPr>
      </w:pPr>
      <w:bookmarkStart w:id="1" w:name="7356d0mdv2xq" w:colFirst="0" w:colLast="0"/>
      <w:bookmarkEnd w:id="1"/>
      <w:r>
        <w:rPr>
          <w:b/>
          <w:color w:val="274E13"/>
        </w:rPr>
        <w:t xml:space="preserve">Preparation </w:t>
      </w:r>
      <w:r>
        <w:rPr>
          <w:i/>
          <w:color w:val="FF0000"/>
        </w:rPr>
        <w:t>(Links to worksheets, primary sources and other materials):</w:t>
      </w:r>
    </w:p>
    <w:p w14:paraId="675E2B62" w14:textId="77777777" w:rsidR="00DE7F18" w:rsidRDefault="00DE7F18">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DE7F18" w14:paraId="1146622D" w14:textId="77777777">
        <w:tc>
          <w:tcPr>
            <w:tcW w:w="2175" w:type="dxa"/>
            <w:shd w:val="clear" w:color="auto" w:fill="auto"/>
            <w:tcMar>
              <w:top w:w="100" w:type="dxa"/>
              <w:left w:w="100" w:type="dxa"/>
              <w:bottom w:w="100" w:type="dxa"/>
              <w:right w:w="100" w:type="dxa"/>
            </w:tcMar>
          </w:tcPr>
          <w:p w14:paraId="22B343CB" w14:textId="77777777" w:rsidR="00DE7F18" w:rsidRDefault="00DE3953">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523C7985" w14:textId="77777777" w:rsidR="00DE7F18" w:rsidRDefault="00DE3953">
            <w:pPr>
              <w:widowControl w:val="0"/>
              <w:pBdr>
                <w:top w:val="nil"/>
                <w:left w:val="nil"/>
                <w:bottom w:val="nil"/>
                <w:right w:val="nil"/>
                <w:between w:val="nil"/>
              </w:pBdr>
              <w:spacing w:line="240" w:lineRule="auto"/>
              <w:rPr>
                <w:b/>
              </w:rPr>
            </w:pPr>
            <w:hyperlink r:id="rId7" w:anchor="slide=id.p3">
              <w:r>
                <w:rPr>
                  <w:b/>
                  <w:color w:val="1155CC"/>
                  <w:u w:val="single"/>
                </w:rPr>
                <w:t>Powerpoint on Labor</w:t>
              </w:r>
            </w:hyperlink>
          </w:p>
          <w:p w14:paraId="750EB4B0" w14:textId="6FB315DC" w:rsidR="00DE7F18" w:rsidRDefault="00DE3953">
            <w:pPr>
              <w:widowControl w:val="0"/>
              <w:pBdr>
                <w:top w:val="nil"/>
                <w:left w:val="nil"/>
                <w:bottom w:val="nil"/>
                <w:right w:val="nil"/>
                <w:between w:val="nil"/>
              </w:pBdr>
              <w:spacing w:line="240" w:lineRule="auto"/>
              <w:rPr>
                <w:b/>
              </w:rPr>
            </w:pPr>
            <w:hyperlink r:id="rId8">
              <w:r>
                <w:rPr>
                  <w:b/>
                  <w:color w:val="1155CC"/>
                  <w:u w:val="single"/>
                </w:rPr>
                <w:t>Ludlow Backgrou</w:t>
              </w:r>
              <w:r>
                <w:rPr>
                  <w:b/>
                  <w:color w:val="1155CC"/>
                  <w:u w:val="single"/>
                </w:rPr>
                <w:t>n</w:t>
              </w:r>
              <w:r>
                <w:rPr>
                  <w:b/>
                  <w:color w:val="1155CC"/>
                  <w:u w:val="single"/>
                </w:rPr>
                <w:t>d</w:t>
              </w:r>
            </w:hyperlink>
          </w:p>
          <w:p w14:paraId="5036A7D1" w14:textId="1D1D2893" w:rsidR="00DE7F18" w:rsidRDefault="00DE3953">
            <w:pPr>
              <w:widowControl w:val="0"/>
              <w:pBdr>
                <w:top w:val="nil"/>
                <w:left w:val="nil"/>
                <w:bottom w:val="nil"/>
                <w:right w:val="nil"/>
                <w:between w:val="nil"/>
              </w:pBdr>
              <w:spacing w:line="240" w:lineRule="auto"/>
              <w:rPr>
                <w:b/>
              </w:rPr>
            </w:pPr>
            <w:hyperlink r:id="rId9">
              <w:r>
                <w:rPr>
                  <w:b/>
                  <w:color w:val="1155CC"/>
                  <w:u w:val="single"/>
                </w:rPr>
                <w:t>Old Lesson Reso</w:t>
              </w:r>
              <w:r>
                <w:rPr>
                  <w:b/>
                  <w:color w:val="1155CC"/>
                  <w:u w:val="single"/>
                </w:rPr>
                <w:t>u</w:t>
              </w:r>
              <w:r>
                <w:rPr>
                  <w:b/>
                  <w:color w:val="1155CC"/>
                  <w:u w:val="single"/>
                </w:rPr>
                <w:t>rces</w:t>
              </w:r>
            </w:hyperlink>
          </w:p>
          <w:p w14:paraId="5BD0DBB5" w14:textId="61459604" w:rsidR="00DE7F18" w:rsidRDefault="00DE3953">
            <w:pPr>
              <w:widowControl w:val="0"/>
              <w:pBdr>
                <w:top w:val="nil"/>
                <w:left w:val="nil"/>
                <w:bottom w:val="nil"/>
                <w:right w:val="nil"/>
                <w:between w:val="nil"/>
              </w:pBdr>
              <w:spacing w:line="240" w:lineRule="auto"/>
              <w:rPr>
                <w:b/>
              </w:rPr>
            </w:pPr>
            <w:hyperlink r:id="rId10">
              <w:r>
                <w:rPr>
                  <w:b/>
                  <w:color w:val="1155CC"/>
                  <w:u w:val="single"/>
                </w:rPr>
                <w:t>Miner's Union demand</w:t>
              </w:r>
              <w:r>
                <w:rPr>
                  <w:b/>
                  <w:color w:val="1155CC"/>
                  <w:u w:val="single"/>
                </w:rPr>
                <w:t>s</w:t>
              </w:r>
            </w:hyperlink>
          </w:p>
          <w:p w14:paraId="7689A656" w14:textId="2E8B8357" w:rsidR="00DE7F18" w:rsidRDefault="00DE3953">
            <w:pPr>
              <w:widowControl w:val="0"/>
              <w:pBdr>
                <w:top w:val="nil"/>
                <w:left w:val="nil"/>
                <w:bottom w:val="nil"/>
                <w:right w:val="nil"/>
                <w:between w:val="nil"/>
              </w:pBdr>
              <w:spacing w:line="240" w:lineRule="auto"/>
              <w:rPr>
                <w:b/>
              </w:rPr>
            </w:pPr>
            <w:hyperlink r:id="rId11">
              <w:r>
                <w:rPr>
                  <w:b/>
                  <w:color w:val="1155CC"/>
                  <w:u w:val="single"/>
                </w:rPr>
                <w:t xml:space="preserve">Woody Guthrie </w:t>
              </w:r>
              <w:r>
                <w:rPr>
                  <w:b/>
                  <w:color w:val="1155CC"/>
                  <w:u w:val="single"/>
                </w:rPr>
                <w:t>I</w:t>
              </w:r>
              <w:r>
                <w:rPr>
                  <w:b/>
                  <w:color w:val="1155CC"/>
                  <w:u w:val="single"/>
                </w:rPr>
                <w:t>mage</w:t>
              </w:r>
            </w:hyperlink>
          </w:p>
          <w:p w14:paraId="19BF2D8D" w14:textId="004EEFDA" w:rsidR="00DE7F18" w:rsidRDefault="00DE3953">
            <w:pPr>
              <w:widowControl w:val="0"/>
              <w:pBdr>
                <w:top w:val="nil"/>
                <w:left w:val="nil"/>
                <w:bottom w:val="nil"/>
                <w:right w:val="nil"/>
                <w:between w:val="nil"/>
              </w:pBdr>
              <w:spacing w:line="240" w:lineRule="auto"/>
              <w:rPr>
                <w:b/>
              </w:rPr>
            </w:pPr>
            <w:hyperlink r:id="rId12">
              <w:r>
                <w:rPr>
                  <w:b/>
                  <w:color w:val="1155CC"/>
                  <w:u w:val="single"/>
                </w:rPr>
                <w:t>Woody Guthrie "Ludlow Massac</w:t>
              </w:r>
              <w:r>
                <w:rPr>
                  <w:b/>
                  <w:color w:val="1155CC"/>
                  <w:u w:val="single"/>
                </w:rPr>
                <w:t>r</w:t>
              </w:r>
              <w:r>
                <w:rPr>
                  <w:b/>
                  <w:color w:val="1155CC"/>
                  <w:u w:val="single"/>
                </w:rPr>
                <w:t>e" Lyrics</w:t>
              </w:r>
            </w:hyperlink>
          </w:p>
          <w:p w14:paraId="56433AE2" w14:textId="77777777" w:rsidR="00DE7F18" w:rsidRDefault="00DE3953">
            <w:pPr>
              <w:widowControl w:val="0"/>
              <w:pBdr>
                <w:top w:val="nil"/>
                <w:left w:val="nil"/>
                <w:bottom w:val="nil"/>
                <w:right w:val="nil"/>
                <w:between w:val="nil"/>
              </w:pBdr>
              <w:spacing w:line="240" w:lineRule="auto"/>
            </w:pPr>
            <w:r>
              <w:t>All links should be live on the attached power point. Please contact me if you are having any technical issues:</w:t>
            </w:r>
          </w:p>
          <w:p w14:paraId="6C36E6EF" w14:textId="77777777" w:rsidR="00DE7F18" w:rsidRDefault="00DE3953">
            <w:pPr>
              <w:widowControl w:val="0"/>
              <w:pBdr>
                <w:top w:val="nil"/>
                <w:left w:val="nil"/>
                <w:bottom w:val="nil"/>
                <w:right w:val="nil"/>
                <w:between w:val="nil"/>
              </w:pBdr>
              <w:spacing w:line="240" w:lineRule="auto"/>
              <w:rPr>
                <w:b/>
              </w:rPr>
            </w:pPr>
            <w:r>
              <w:t>michael.codrey@bvsd.org</w:t>
            </w:r>
          </w:p>
        </w:tc>
      </w:tr>
      <w:tr w:rsidR="00DE7F18" w14:paraId="639F3336" w14:textId="77777777">
        <w:tc>
          <w:tcPr>
            <w:tcW w:w="2175" w:type="dxa"/>
            <w:shd w:val="clear" w:color="auto" w:fill="auto"/>
            <w:tcMar>
              <w:top w:w="100" w:type="dxa"/>
              <w:left w:w="100" w:type="dxa"/>
              <w:bottom w:w="100" w:type="dxa"/>
              <w:right w:w="100" w:type="dxa"/>
            </w:tcMar>
          </w:tcPr>
          <w:p w14:paraId="54311BDB" w14:textId="77777777" w:rsidR="00DE7F18" w:rsidRDefault="00DE3953">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7B0693A5" w14:textId="77777777" w:rsidR="00DE7F18" w:rsidRDefault="00DE3953">
            <w:pPr>
              <w:widowControl w:val="0"/>
              <w:pBdr>
                <w:top w:val="nil"/>
                <w:left w:val="nil"/>
                <w:bottom w:val="nil"/>
                <w:right w:val="nil"/>
                <w:between w:val="nil"/>
              </w:pBdr>
              <w:spacing w:line="240" w:lineRule="auto"/>
            </w:pPr>
            <w:r>
              <w:t>Primary Sources for Lafayette Mine Strike</w:t>
            </w:r>
          </w:p>
          <w:p w14:paraId="465B2125" w14:textId="77777777" w:rsidR="00DE7F18" w:rsidRDefault="00DE3953">
            <w:pPr>
              <w:widowControl w:val="0"/>
              <w:pBdr>
                <w:top w:val="nil"/>
                <w:left w:val="nil"/>
                <w:bottom w:val="nil"/>
                <w:right w:val="nil"/>
                <w:between w:val="nil"/>
              </w:pBdr>
              <w:spacing w:before="96" w:line="240" w:lineRule="auto"/>
              <w:rPr>
                <w:u w:val="single"/>
              </w:rPr>
            </w:pPr>
            <w:hyperlink r:id="rId13">
              <w:r>
                <w:rPr>
                  <w:color w:val="0000FF"/>
                  <w:u w:val="single"/>
                </w:rPr>
                <w:t>http://bocolatinohistory.colorado.edu/document/the-columbine-incident-part-1</w:t>
              </w:r>
            </w:hyperlink>
          </w:p>
          <w:p w14:paraId="31135A30" w14:textId="77777777" w:rsidR="00DE7F18" w:rsidRDefault="00DE3953">
            <w:pPr>
              <w:widowControl w:val="0"/>
              <w:pBdr>
                <w:top w:val="nil"/>
                <w:left w:val="nil"/>
                <w:bottom w:val="nil"/>
                <w:right w:val="nil"/>
                <w:between w:val="nil"/>
              </w:pBdr>
              <w:spacing w:before="96" w:line="240" w:lineRule="auto"/>
            </w:pPr>
            <w:hyperlink r:id="rId14">
              <w:r>
                <w:rPr>
                  <w:color w:val="0000FF"/>
                  <w:u w:val="single"/>
                </w:rPr>
                <w:t>http://bocolatinohistory.colorado.edu/document/the-columbine-incident-part-2</w:t>
              </w:r>
            </w:hyperlink>
          </w:p>
          <w:p w14:paraId="4E77C3CB" w14:textId="77777777" w:rsidR="00DE7F18" w:rsidRDefault="00DE7F18">
            <w:pPr>
              <w:widowControl w:val="0"/>
              <w:pBdr>
                <w:top w:val="nil"/>
                <w:left w:val="nil"/>
                <w:bottom w:val="nil"/>
                <w:right w:val="nil"/>
                <w:between w:val="nil"/>
              </w:pBdr>
              <w:spacing w:line="240" w:lineRule="auto"/>
            </w:pPr>
          </w:p>
        </w:tc>
      </w:tr>
    </w:tbl>
    <w:p w14:paraId="6D7C911B" w14:textId="77777777" w:rsidR="00DE7F18" w:rsidRDefault="00DE7F18">
      <w:pPr>
        <w:pBdr>
          <w:top w:val="nil"/>
          <w:left w:val="nil"/>
          <w:bottom w:val="nil"/>
          <w:right w:val="nil"/>
          <w:between w:val="nil"/>
        </w:pBdr>
        <w:rPr>
          <w:b/>
        </w:rPr>
      </w:pPr>
    </w:p>
    <w:p w14:paraId="5ED7A7A0" w14:textId="77777777" w:rsidR="00DE7F18" w:rsidRDefault="00DE7F18">
      <w:pPr>
        <w:pBdr>
          <w:top w:val="nil"/>
          <w:left w:val="nil"/>
          <w:bottom w:val="nil"/>
          <w:right w:val="nil"/>
          <w:between w:val="nil"/>
        </w:pBdr>
      </w:pPr>
    </w:p>
    <w:p w14:paraId="124697D8" w14:textId="77777777" w:rsidR="00DE7F18" w:rsidRDefault="00DE7F18">
      <w:pPr>
        <w:pBdr>
          <w:top w:val="nil"/>
          <w:left w:val="nil"/>
          <w:bottom w:val="nil"/>
          <w:right w:val="nil"/>
          <w:between w:val="nil"/>
        </w:pBdr>
      </w:pPr>
    </w:p>
    <w:p w14:paraId="393BF078" w14:textId="77777777" w:rsidR="00DE7F18" w:rsidRDefault="00DE3953">
      <w:pPr>
        <w:pBdr>
          <w:top w:val="nil"/>
          <w:left w:val="nil"/>
          <w:bottom w:val="nil"/>
          <w:right w:val="nil"/>
          <w:between w:val="nil"/>
        </w:pBdr>
      </w:pPr>
      <w:bookmarkStart w:id="2" w:name="sdnwets442sm" w:colFirst="0" w:colLast="0"/>
      <w:bookmarkEnd w:id="2"/>
      <w:r>
        <w:rPr>
          <w:b/>
          <w:color w:val="274E13"/>
        </w:rPr>
        <w:t xml:space="preserve">Lesson Procedure </w:t>
      </w:r>
      <w:r>
        <w:rPr>
          <w:i/>
          <w:color w:val="FF0000"/>
        </w:rPr>
        <w:t>(Step by Step Instructions):</w:t>
      </w:r>
      <w:r>
        <w:t xml:space="preserve"> </w:t>
      </w:r>
    </w:p>
    <w:p w14:paraId="4B84EB82" w14:textId="77777777" w:rsidR="00DE7F18" w:rsidRDefault="00DE7F18">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DE7F18" w14:paraId="24FC3D1F" w14:textId="77777777">
        <w:tc>
          <w:tcPr>
            <w:tcW w:w="9915" w:type="dxa"/>
            <w:shd w:val="clear" w:color="auto" w:fill="auto"/>
            <w:tcMar>
              <w:top w:w="100" w:type="dxa"/>
              <w:left w:w="100" w:type="dxa"/>
              <w:bottom w:w="100" w:type="dxa"/>
              <w:right w:w="100" w:type="dxa"/>
            </w:tcMar>
          </w:tcPr>
          <w:p w14:paraId="454BB1BE" w14:textId="77777777" w:rsidR="00DE7F18" w:rsidRDefault="00DE3953">
            <w:pPr>
              <w:widowControl w:val="0"/>
              <w:pBdr>
                <w:top w:val="nil"/>
                <w:left w:val="nil"/>
                <w:bottom w:val="nil"/>
                <w:right w:val="nil"/>
                <w:between w:val="nil"/>
              </w:pBdr>
              <w:spacing w:line="240" w:lineRule="auto"/>
            </w:pPr>
            <w:r>
              <w:t>Teachers will utilize the attached Powerpoint and create a T-chart to discuss Labor and Capital and the role they played in America’s economy during the early 20th century. It is important to discuss the role of Unions and the process of “collective bargai</w:t>
            </w:r>
            <w:r>
              <w:t xml:space="preserve">ning” during this lesson. Also, it is worth discussing when Labor Unions can go too far at the expense of a company or industry to provide a balanced opinion of the role of unions. </w:t>
            </w:r>
          </w:p>
          <w:p w14:paraId="03EEA5DC" w14:textId="77777777" w:rsidR="00DE7F18" w:rsidRDefault="00DE7F18">
            <w:pPr>
              <w:widowControl w:val="0"/>
              <w:pBdr>
                <w:top w:val="nil"/>
                <w:left w:val="nil"/>
                <w:bottom w:val="nil"/>
                <w:right w:val="nil"/>
                <w:between w:val="nil"/>
              </w:pBdr>
              <w:spacing w:line="240" w:lineRule="auto"/>
            </w:pPr>
          </w:p>
          <w:p w14:paraId="755DA89C" w14:textId="77777777" w:rsidR="00DE7F18" w:rsidRDefault="00DE3953">
            <w:pPr>
              <w:widowControl w:val="0"/>
              <w:numPr>
                <w:ilvl w:val="0"/>
                <w:numId w:val="6"/>
              </w:numPr>
              <w:pBdr>
                <w:top w:val="nil"/>
                <w:left w:val="nil"/>
                <w:bottom w:val="nil"/>
                <w:right w:val="nil"/>
                <w:between w:val="nil"/>
              </w:pBdr>
              <w:spacing w:line="240" w:lineRule="auto"/>
            </w:pPr>
            <w:r>
              <w:t>Review</w:t>
            </w:r>
            <w:r>
              <w:t xml:space="preserve"> attached Powerpoint and other materials including Woody Guthrie’s “Ludlow Massacre” to discuss what happens when Capital can go too far to meet its ends. </w:t>
            </w:r>
          </w:p>
          <w:p w14:paraId="251A51A6" w14:textId="77777777" w:rsidR="00DE7F18" w:rsidRDefault="00DE7F18">
            <w:pPr>
              <w:widowControl w:val="0"/>
              <w:pBdr>
                <w:top w:val="nil"/>
                <w:left w:val="nil"/>
                <w:bottom w:val="nil"/>
                <w:right w:val="nil"/>
                <w:between w:val="nil"/>
              </w:pBdr>
              <w:spacing w:line="240" w:lineRule="auto"/>
            </w:pPr>
          </w:p>
          <w:p w14:paraId="7DBB1336" w14:textId="77777777" w:rsidR="00DE7F18" w:rsidRDefault="00DE3953">
            <w:pPr>
              <w:widowControl w:val="0"/>
              <w:numPr>
                <w:ilvl w:val="0"/>
                <w:numId w:val="1"/>
              </w:numPr>
              <w:pBdr>
                <w:top w:val="nil"/>
                <w:left w:val="nil"/>
                <w:bottom w:val="nil"/>
                <w:right w:val="nil"/>
                <w:between w:val="nil"/>
              </w:pBdr>
              <w:spacing w:line="240" w:lineRule="auto"/>
            </w:pPr>
            <w:r>
              <w:t xml:space="preserve">Review the Primary Source listing the Miners’ demands and clarify any gaps in understanding and </w:t>
            </w:r>
            <w:proofErr w:type="gramStart"/>
            <w:r>
              <w:t>ask</w:t>
            </w:r>
            <w:proofErr w:type="gramEnd"/>
            <w:r>
              <w:t xml:space="preserve"> “are the Miners demands reasonable?”</w:t>
            </w:r>
          </w:p>
          <w:p w14:paraId="0CDCEA84" w14:textId="77777777" w:rsidR="00DE7F18" w:rsidRDefault="00DE7F18">
            <w:pPr>
              <w:widowControl w:val="0"/>
              <w:pBdr>
                <w:top w:val="nil"/>
                <w:left w:val="nil"/>
                <w:bottom w:val="nil"/>
                <w:right w:val="nil"/>
                <w:between w:val="nil"/>
              </w:pBdr>
              <w:spacing w:line="240" w:lineRule="auto"/>
            </w:pPr>
          </w:p>
          <w:p w14:paraId="121D9303" w14:textId="77777777" w:rsidR="00DE7F18" w:rsidRDefault="00DE3953">
            <w:pPr>
              <w:widowControl w:val="0"/>
              <w:numPr>
                <w:ilvl w:val="0"/>
                <w:numId w:val="5"/>
              </w:numPr>
              <w:pBdr>
                <w:top w:val="nil"/>
                <w:left w:val="nil"/>
                <w:bottom w:val="nil"/>
                <w:right w:val="nil"/>
                <w:between w:val="nil"/>
              </w:pBdr>
              <w:spacing w:line="240" w:lineRule="auto"/>
            </w:pPr>
            <w:r>
              <w:t xml:space="preserve">Review the Primary sources of the “Columbine Miner’s strike” and discuss what is similar and what is different between the two Colorado miners’ strikes.  </w:t>
            </w:r>
          </w:p>
          <w:p w14:paraId="139D9164" w14:textId="77777777" w:rsidR="00DE7F18" w:rsidRDefault="00DE7F18">
            <w:pPr>
              <w:widowControl w:val="0"/>
              <w:pBdr>
                <w:top w:val="nil"/>
                <w:left w:val="nil"/>
                <w:bottom w:val="nil"/>
                <w:right w:val="nil"/>
                <w:between w:val="nil"/>
              </w:pBdr>
              <w:spacing w:line="240" w:lineRule="auto"/>
            </w:pPr>
          </w:p>
          <w:p w14:paraId="1EDF5EC1" w14:textId="77777777" w:rsidR="00DE7F18" w:rsidRDefault="00DE3953">
            <w:pPr>
              <w:widowControl w:val="0"/>
              <w:numPr>
                <w:ilvl w:val="0"/>
                <w:numId w:val="3"/>
              </w:numPr>
              <w:pBdr>
                <w:top w:val="nil"/>
                <w:left w:val="nil"/>
                <w:bottom w:val="nil"/>
                <w:right w:val="nil"/>
                <w:between w:val="nil"/>
              </w:pBdr>
              <w:spacing w:line="240" w:lineRule="auto"/>
            </w:pPr>
            <w:r>
              <w:t>Compare existing working conditions for America’s labor force to illustrate the gains workers have m</w:t>
            </w:r>
            <w:r>
              <w:t xml:space="preserve">ade in the last hundred years. </w:t>
            </w:r>
          </w:p>
          <w:p w14:paraId="7A42D924" w14:textId="77777777" w:rsidR="00DE7F18" w:rsidRDefault="00DE7F18">
            <w:pPr>
              <w:widowControl w:val="0"/>
              <w:pBdr>
                <w:top w:val="nil"/>
                <w:left w:val="nil"/>
                <w:bottom w:val="nil"/>
                <w:right w:val="nil"/>
                <w:between w:val="nil"/>
              </w:pBdr>
              <w:spacing w:line="240" w:lineRule="auto"/>
            </w:pPr>
          </w:p>
          <w:p w14:paraId="719141C5" w14:textId="77777777" w:rsidR="00DE7F18" w:rsidRDefault="00DE3953">
            <w:pPr>
              <w:widowControl w:val="0"/>
              <w:numPr>
                <w:ilvl w:val="0"/>
                <w:numId w:val="2"/>
              </w:numPr>
              <w:pBdr>
                <w:top w:val="nil"/>
                <w:left w:val="nil"/>
                <w:bottom w:val="nil"/>
                <w:right w:val="nil"/>
                <w:between w:val="nil"/>
              </w:pBdr>
              <w:spacing w:line="240" w:lineRule="auto"/>
            </w:pPr>
            <w:r>
              <w:t>Review the creative writing prompt at the end of the Power Point and have students write a letter to a loved one in Denver advocating the point of view of either the Miners’ (Labor) or Owners’ (Capital) position using the Ludlow or Columbine strikes as exa</w:t>
            </w:r>
            <w:r>
              <w:t xml:space="preserve">mples. </w:t>
            </w:r>
          </w:p>
          <w:p w14:paraId="6C9520F8" w14:textId="77777777" w:rsidR="00DE7F18" w:rsidRDefault="00DE7F18">
            <w:pPr>
              <w:widowControl w:val="0"/>
              <w:pBdr>
                <w:top w:val="nil"/>
                <w:left w:val="nil"/>
                <w:bottom w:val="nil"/>
                <w:right w:val="nil"/>
                <w:between w:val="nil"/>
              </w:pBdr>
              <w:spacing w:line="240" w:lineRule="auto"/>
            </w:pPr>
          </w:p>
          <w:p w14:paraId="301EB46B" w14:textId="77777777" w:rsidR="00DE7F18" w:rsidRDefault="00DE3953">
            <w:pPr>
              <w:widowControl w:val="0"/>
              <w:numPr>
                <w:ilvl w:val="0"/>
                <w:numId w:val="4"/>
              </w:numPr>
              <w:pBdr>
                <w:top w:val="nil"/>
                <w:left w:val="nil"/>
                <w:bottom w:val="nil"/>
                <w:right w:val="nil"/>
                <w:between w:val="nil"/>
              </w:pBdr>
              <w:spacing w:line="240" w:lineRule="auto"/>
            </w:pPr>
            <w:r>
              <w:t>Students will be assessed on their ability to draw examples from the primary sources and on their ability to correctly summarize the role of labor, capital, and unions.</w:t>
            </w:r>
          </w:p>
        </w:tc>
      </w:tr>
    </w:tbl>
    <w:p w14:paraId="7BC19657" w14:textId="77777777" w:rsidR="00DE7F18" w:rsidRDefault="00DE7F18">
      <w:pPr>
        <w:pBdr>
          <w:top w:val="nil"/>
          <w:left w:val="nil"/>
          <w:bottom w:val="nil"/>
          <w:right w:val="nil"/>
          <w:between w:val="nil"/>
        </w:pBdr>
      </w:pPr>
    </w:p>
    <w:p w14:paraId="4CB17DC4" w14:textId="77777777" w:rsidR="00DE7F18" w:rsidRDefault="00DE7F18">
      <w:pPr>
        <w:pBdr>
          <w:top w:val="nil"/>
          <w:left w:val="nil"/>
          <w:bottom w:val="nil"/>
          <w:right w:val="nil"/>
          <w:between w:val="nil"/>
        </w:pBdr>
        <w:rPr>
          <w:b/>
        </w:rPr>
      </w:pPr>
    </w:p>
    <w:p w14:paraId="5032B346" w14:textId="77777777" w:rsidR="00DE7F18" w:rsidRDefault="00DE7F18">
      <w:pPr>
        <w:pBdr>
          <w:top w:val="nil"/>
          <w:left w:val="nil"/>
          <w:bottom w:val="nil"/>
          <w:right w:val="nil"/>
          <w:between w:val="nil"/>
        </w:pBdr>
        <w:rPr>
          <w:b/>
        </w:rPr>
      </w:pPr>
    </w:p>
    <w:p w14:paraId="441473EC" w14:textId="77777777" w:rsidR="00DE7F18" w:rsidRDefault="00DE7F18">
      <w:pPr>
        <w:pBdr>
          <w:top w:val="nil"/>
          <w:left w:val="nil"/>
          <w:bottom w:val="nil"/>
          <w:right w:val="nil"/>
          <w:between w:val="nil"/>
        </w:pBdr>
        <w:rPr>
          <w:b/>
        </w:rPr>
      </w:pPr>
    </w:p>
    <w:p w14:paraId="5FB0095D" w14:textId="77777777" w:rsidR="00DE7F18" w:rsidRDefault="00DE7F18">
      <w:pPr>
        <w:pBdr>
          <w:top w:val="nil"/>
          <w:left w:val="nil"/>
          <w:bottom w:val="nil"/>
          <w:right w:val="nil"/>
          <w:between w:val="nil"/>
        </w:pBdr>
        <w:rPr>
          <w:b/>
        </w:rPr>
      </w:pPr>
    </w:p>
    <w:p w14:paraId="7F640C73" w14:textId="77777777" w:rsidR="00DE7F18" w:rsidRDefault="00DE7F18">
      <w:pPr>
        <w:pBdr>
          <w:top w:val="nil"/>
          <w:left w:val="nil"/>
          <w:bottom w:val="nil"/>
          <w:right w:val="nil"/>
          <w:between w:val="nil"/>
        </w:pBdr>
        <w:rPr>
          <w:b/>
        </w:rPr>
      </w:pPr>
    </w:p>
    <w:p w14:paraId="3C3E858C" w14:textId="0D5875C5" w:rsidR="00DE7F18" w:rsidRDefault="00DE3953">
      <w:pPr>
        <w:pBdr>
          <w:top w:val="nil"/>
          <w:left w:val="nil"/>
          <w:bottom w:val="nil"/>
          <w:right w:val="nil"/>
          <w:between w:val="nil"/>
        </w:pBdr>
        <w:rPr>
          <w:i/>
          <w:color w:val="FF0000"/>
        </w:rPr>
      </w:pPr>
      <w:bookmarkStart w:id="3" w:name="m091erue629w" w:colFirst="0" w:colLast="0"/>
      <w:bookmarkEnd w:id="3"/>
      <w:r>
        <w:rPr>
          <w:b/>
          <w:color w:val="274E13"/>
        </w:rPr>
        <w:t>Evaluation/Assessment:</w:t>
      </w:r>
      <w:r>
        <w:rPr>
          <w:b/>
          <w:color w:val="274E13"/>
        </w:rPr>
        <w:t xml:space="preserve"> </w:t>
      </w:r>
      <w:r>
        <w:rPr>
          <w:i/>
          <w:color w:val="FF0000"/>
        </w:rPr>
        <w:t>(Methods for collecting evidence of</w:t>
      </w:r>
      <w:bookmarkStart w:id="4" w:name="_GoBack"/>
      <w:bookmarkEnd w:id="4"/>
      <w:r>
        <w:rPr>
          <w:i/>
          <w:color w:val="FF0000"/>
        </w:rPr>
        <w:t xml:space="preserve"> student learning)</w:t>
      </w:r>
    </w:p>
    <w:p w14:paraId="459629BF" w14:textId="77777777" w:rsidR="00DE7F18" w:rsidRDefault="00DE3953">
      <w:pPr>
        <w:pBdr>
          <w:top w:val="nil"/>
          <w:left w:val="nil"/>
          <w:bottom w:val="nil"/>
          <w:right w:val="nil"/>
          <w:between w:val="nil"/>
        </w:pBdr>
        <w:rPr>
          <w:b/>
        </w:rPr>
      </w:pPr>
      <w:r>
        <w:rPr>
          <w:b/>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DE7F18" w14:paraId="2831BB0C" w14:textId="77777777">
        <w:tc>
          <w:tcPr>
            <w:tcW w:w="9930" w:type="dxa"/>
            <w:shd w:val="clear" w:color="auto" w:fill="auto"/>
            <w:tcMar>
              <w:top w:w="100" w:type="dxa"/>
              <w:left w:w="100" w:type="dxa"/>
              <w:bottom w:w="100" w:type="dxa"/>
              <w:right w:w="100" w:type="dxa"/>
            </w:tcMar>
          </w:tcPr>
          <w:p w14:paraId="2CCC4EB8" w14:textId="77777777" w:rsidR="00DE7F18" w:rsidRDefault="00DE3953">
            <w:pPr>
              <w:widowControl w:val="0"/>
              <w:pBdr>
                <w:top w:val="nil"/>
                <w:left w:val="nil"/>
                <w:bottom w:val="nil"/>
                <w:right w:val="nil"/>
                <w:between w:val="nil"/>
              </w:pBdr>
              <w:spacing w:line="240" w:lineRule="auto"/>
            </w:pPr>
            <w:r>
              <w:t>The assessment for this lesson will be in the writing piece. Students should be expected to display an understanding of the causes of conflict that went into both mine strikes drawing examples from the primary sources and to correctly summarize the role of</w:t>
            </w:r>
            <w:r>
              <w:t xml:space="preserve"> labor, capital, and unions.</w:t>
            </w:r>
          </w:p>
          <w:p w14:paraId="34F4A383" w14:textId="77777777" w:rsidR="00DE7F18" w:rsidRDefault="00DE3953">
            <w:pPr>
              <w:widowControl w:val="0"/>
              <w:pBdr>
                <w:top w:val="nil"/>
                <w:left w:val="nil"/>
                <w:bottom w:val="nil"/>
                <w:right w:val="nil"/>
                <w:between w:val="nil"/>
              </w:pBdr>
              <w:spacing w:line="240" w:lineRule="auto"/>
            </w:pPr>
            <w:r>
              <w:t xml:space="preserve">This task should be explicitly asked of them as they create their written (letter) response.   </w:t>
            </w:r>
          </w:p>
        </w:tc>
      </w:tr>
    </w:tbl>
    <w:p w14:paraId="16E188C3" w14:textId="77777777" w:rsidR="00DE7F18" w:rsidRDefault="00DE7F18">
      <w:pPr>
        <w:pBdr>
          <w:top w:val="nil"/>
          <w:left w:val="nil"/>
          <w:bottom w:val="nil"/>
          <w:right w:val="nil"/>
          <w:between w:val="nil"/>
        </w:pBdr>
        <w:rPr>
          <w:b/>
          <w:sz w:val="28"/>
          <w:szCs w:val="28"/>
        </w:rPr>
      </w:pPr>
    </w:p>
    <w:p w14:paraId="65486CAA" w14:textId="77777777" w:rsidR="00DE7F18" w:rsidRDefault="00DE7F18">
      <w:pPr>
        <w:pBdr>
          <w:top w:val="nil"/>
          <w:left w:val="nil"/>
          <w:bottom w:val="nil"/>
          <w:right w:val="nil"/>
          <w:between w:val="nil"/>
        </w:pBdr>
        <w:rPr>
          <w:b/>
          <w:sz w:val="28"/>
          <w:szCs w:val="28"/>
        </w:rPr>
      </w:pPr>
    </w:p>
    <w:p w14:paraId="267DAF12" w14:textId="77777777" w:rsidR="00DE7F18" w:rsidRDefault="00DE7F18">
      <w:pPr>
        <w:pBdr>
          <w:top w:val="nil"/>
          <w:left w:val="nil"/>
          <w:bottom w:val="nil"/>
          <w:right w:val="nil"/>
          <w:between w:val="nil"/>
        </w:pBdr>
        <w:rPr>
          <w:b/>
          <w:sz w:val="28"/>
          <w:szCs w:val="28"/>
        </w:rPr>
      </w:pPr>
    </w:p>
    <w:p w14:paraId="3EB1FBF0" w14:textId="77777777" w:rsidR="00DE7F18" w:rsidRDefault="00DE7F18">
      <w:pPr>
        <w:pBdr>
          <w:top w:val="nil"/>
          <w:left w:val="nil"/>
          <w:bottom w:val="nil"/>
          <w:right w:val="nil"/>
          <w:between w:val="nil"/>
        </w:pBdr>
        <w:rPr>
          <w:b/>
          <w:sz w:val="28"/>
          <w:szCs w:val="28"/>
        </w:rPr>
      </w:pPr>
    </w:p>
    <w:p w14:paraId="4D1AFB15" w14:textId="77777777" w:rsidR="00DE7F18" w:rsidRDefault="00DE7F18">
      <w:pPr>
        <w:pBdr>
          <w:top w:val="nil"/>
          <w:left w:val="nil"/>
          <w:bottom w:val="nil"/>
          <w:right w:val="nil"/>
          <w:between w:val="nil"/>
        </w:pBdr>
        <w:rPr>
          <w:b/>
          <w:sz w:val="28"/>
          <w:szCs w:val="28"/>
        </w:rPr>
      </w:pPr>
    </w:p>
    <w:p w14:paraId="1F1F26C1" w14:textId="77777777" w:rsidR="00DE7F18" w:rsidRDefault="00DE7F18">
      <w:pPr>
        <w:pBdr>
          <w:top w:val="nil"/>
          <w:left w:val="nil"/>
          <w:bottom w:val="nil"/>
          <w:right w:val="nil"/>
          <w:between w:val="nil"/>
        </w:pBdr>
        <w:rPr>
          <w:b/>
          <w:sz w:val="28"/>
          <w:szCs w:val="28"/>
        </w:rPr>
      </w:pPr>
    </w:p>
    <w:p w14:paraId="091E7097" w14:textId="77777777" w:rsidR="00DE7F18" w:rsidRDefault="00DE7F18">
      <w:pPr>
        <w:pBdr>
          <w:top w:val="nil"/>
          <w:left w:val="nil"/>
          <w:bottom w:val="nil"/>
          <w:right w:val="nil"/>
          <w:between w:val="nil"/>
        </w:pBdr>
        <w:rPr>
          <w:b/>
          <w:sz w:val="28"/>
          <w:szCs w:val="28"/>
        </w:rPr>
      </w:pPr>
    </w:p>
    <w:p w14:paraId="6FD2065A" w14:textId="77777777" w:rsidR="00DE7F18" w:rsidRDefault="00DE7F18">
      <w:pPr>
        <w:pBdr>
          <w:top w:val="nil"/>
          <w:left w:val="nil"/>
          <w:bottom w:val="nil"/>
          <w:right w:val="nil"/>
          <w:between w:val="nil"/>
        </w:pBdr>
        <w:rPr>
          <w:b/>
          <w:sz w:val="28"/>
          <w:szCs w:val="28"/>
        </w:rPr>
      </w:pPr>
    </w:p>
    <w:p w14:paraId="674A9F0F" w14:textId="77777777" w:rsidR="00DE7F18" w:rsidRDefault="00DE7F18">
      <w:pPr>
        <w:pBdr>
          <w:top w:val="nil"/>
          <w:left w:val="nil"/>
          <w:bottom w:val="nil"/>
          <w:right w:val="nil"/>
          <w:between w:val="nil"/>
        </w:pBdr>
        <w:rPr>
          <w:b/>
          <w:sz w:val="28"/>
          <w:szCs w:val="28"/>
        </w:rPr>
      </w:pPr>
    </w:p>
    <w:p w14:paraId="34C4DFBC" w14:textId="77777777" w:rsidR="00DE7F18" w:rsidRDefault="00DE7F18">
      <w:pPr>
        <w:pBdr>
          <w:top w:val="nil"/>
          <w:left w:val="nil"/>
          <w:bottom w:val="nil"/>
          <w:right w:val="nil"/>
          <w:between w:val="nil"/>
        </w:pBdr>
        <w:rPr>
          <w:b/>
          <w:sz w:val="28"/>
          <w:szCs w:val="28"/>
        </w:rPr>
      </w:pPr>
    </w:p>
    <w:p w14:paraId="7FC80E9A" w14:textId="77777777" w:rsidR="00DE7F18" w:rsidRDefault="00DE7F18">
      <w:pPr>
        <w:pBdr>
          <w:top w:val="nil"/>
          <w:left w:val="nil"/>
          <w:bottom w:val="nil"/>
          <w:right w:val="nil"/>
          <w:between w:val="nil"/>
        </w:pBdr>
        <w:rPr>
          <w:b/>
          <w:sz w:val="28"/>
          <w:szCs w:val="28"/>
        </w:rPr>
      </w:pPr>
    </w:p>
    <w:p w14:paraId="38E52BF2" w14:textId="77777777" w:rsidR="00DE7F18" w:rsidRDefault="00DE7F18">
      <w:pPr>
        <w:pBdr>
          <w:top w:val="nil"/>
          <w:left w:val="nil"/>
          <w:bottom w:val="nil"/>
          <w:right w:val="nil"/>
          <w:between w:val="nil"/>
        </w:pBdr>
        <w:rPr>
          <w:b/>
          <w:sz w:val="28"/>
          <w:szCs w:val="28"/>
        </w:rPr>
      </w:pPr>
    </w:p>
    <w:p w14:paraId="4AD3C273" w14:textId="77777777" w:rsidR="00DE7F18" w:rsidRDefault="00DE7F18">
      <w:pPr>
        <w:pBdr>
          <w:top w:val="nil"/>
          <w:left w:val="nil"/>
          <w:bottom w:val="nil"/>
          <w:right w:val="nil"/>
          <w:between w:val="nil"/>
        </w:pBdr>
        <w:rPr>
          <w:b/>
          <w:sz w:val="28"/>
          <w:szCs w:val="28"/>
        </w:rPr>
      </w:pPr>
    </w:p>
    <w:p w14:paraId="38D77FF5" w14:textId="77777777" w:rsidR="00DE7F18" w:rsidRDefault="00DE7F18">
      <w:pPr>
        <w:pBdr>
          <w:top w:val="nil"/>
          <w:left w:val="nil"/>
          <w:bottom w:val="nil"/>
          <w:right w:val="nil"/>
          <w:between w:val="nil"/>
        </w:pBdr>
        <w:rPr>
          <w:b/>
          <w:sz w:val="28"/>
          <w:szCs w:val="28"/>
        </w:rPr>
      </w:pPr>
    </w:p>
    <w:p w14:paraId="3E54AD1A" w14:textId="77777777" w:rsidR="00DE7F18" w:rsidRDefault="00DE7F18">
      <w:pPr>
        <w:pBdr>
          <w:top w:val="nil"/>
          <w:left w:val="nil"/>
          <w:bottom w:val="nil"/>
          <w:right w:val="nil"/>
          <w:between w:val="nil"/>
        </w:pBdr>
        <w:rPr>
          <w:b/>
          <w:sz w:val="28"/>
          <w:szCs w:val="28"/>
        </w:rPr>
      </w:pPr>
    </w:p>
    <w:sectPr w:rsidR="00DE7F18">
      <w:headerReference w:type="default" r:id="rId15"/>
      <w:footerReference w:type="default" r:id="rId16"/>
      <w:headerReference w:type="first" r:id="rId17"/>
      <w:footerReference w:type="first" r:id="rId18"/>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541E9" w14:textId="77777777" w:rsidR="00DE3953" w:rsidRDefault="00DE3953">
      <w:pPr>
        <w:spacing w:line="240" w:lineRule="auto"/>
      </w:pPr>
      <w:r>
        <w:separator/>
      </w:r>
    </w:p>
  </w:endnote>
  <w:endnote w:type="continuationSeparator" w:id="0">
    <w:p w14:paraId="5886DDA8" w14:textId="77777777" w:rsidR="00DE3953" w:rsidRDefault="00DE3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5D05" w14:textId="77777777" w:rsidR="00DE7F18" w:rsidRDefault="00DE3953">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Attribution-NonCommercial 4.0 International License. </w:t>
      </w:r>
    </w:hyperlink>
    <w:r>
      <w:rPr>
        <w:noProof/>
      </w:rPr>
      <w:drawing>
        <wp:anchor distT="114300" distB="114300" distL="114300" distR="114300" simplePos="0" relativeHeight="251659264" behindDoc="0" locked="0" layoutInCell="1" hidden="0" allowOverlap="1" wp14:anchorId="17A7171A" wp14:editId="002DF460">
          <wp:simplePos x="0" y="0"/>
          <wp:positionH relativeFrom="column">
            <wp:posOffset>161925</wp:posOffset>
          </wp:positionH>
          <wp:positionV relativeFrom="paragraph">
            <wp:posOffset>47626</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2196" w14:textId="77777777" w:rsidR="00DE7F18" w:rsidRDefault="00DE7F1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6F21" w14:textId="77777777" w:rsidR="00DE3953" w:rsidRDefault="00DE3953">
      <w:pPr>
        <w:spacing w:line="240" w:lineRule="auto"/>
      </w:pPr>
      <w:r>
        <w:separator/>
      </w:r>
    </w:p>
  </w:footnote>
  <w:footnote w:type="continuationSeparator" w:id="0">
    <w:p w14:paraId="60C2F4ED" w14:textId="77777777" w:rsidR="00DE3953" w:rsidRDefault="00DE3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DF8B" w14:textId="77777777" w:rsidR="00DE7F18" w:rsidRDefault="00DE7F18">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957D" w14:textId="77777777" w:rsidR="00DE7F18" w:rsidRDefault="00DE3953">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E04B5A0" wp14:editId="15B8C885">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2" name="image1.png" descr="BCLHP_Logo_v2_0.png"/>
          <wp:cNvGraphicFramePr/>
          <a:graphic xmlns:a="http://schemas.openxmlformats.org/drawingml/2006/main">
            <a:graphicData uri="http://schemas.openxmlformats.org/drawingml/2006/picture">
              <pic:pic xmlns:pic="http://schemas.openxmlformats.org/drawingml/2006/picture">
                <pic:nvPicPr>
                  <pic:cNvPr id="0" name="image1.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014DA22C" w14:textId="77777777" w:rsidR="00DE7F18" w:rsidRDefault="00DE7F18">
    <w:pPr>
      <w:pBdr>
        <w:top w:val="nil"/>
        <w:left w:val="nil"/>
        <w:bottom w:val="nil"/>
        <w:right w:val="nil"/>
        <w:between w:val="nil"/>
      </w:pBdr>
      <w:jc w:val="center"/>
    </w:pPr>
  </w:p>
  <w:p w14:paraId="1A532995" w14:textId="77777777" w:rsidR="00DE7F18" w:rsidRDefault="00DE3953">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036F0A6E" w14:textId="77777777" w:rsidR="00DE7F18" w:rsidRDefault="00DE3953">
    <w:pPr>
      <w:pBdr>
        <w:top w:val="nil"/>
        <w:left w:val="nil"/>
        <w:bottom w:val="nil"/>
        <w:right w:val="nil"/>
        <w:between w:val="nil"/>
      </w:pBdr>
      <w:jc w:val="center"/>
      <w:rPr>
        <w:b/>
        <w:color w:val="274E13"/>
        <w:sz w:val="32"/>
        <w:szCs w:val="32"/>
      </w:rPr>
    </w:pPr>
    <w:r>
      <w:rPr>
        <w:b/>
        <w:color w:val="274E13"/>
        <w:sz w:val="32"/>
        <w:szCs w:val="32"/>
      </w:rPr>
      <w:t xml:space="preserve">Lesson Plans </w:t>
    </w:r>
  </w:p>
  <w:p w14:paraId="55EFE002" w14:textId="77777777" w:rsidR="00DE7F18" w:rsidRDefault="00DE7F18">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13D8"/>
    <w:multiLevelType w:val="multilevel"/>
    <w:tmpl w:val="DAE89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C47BF6"/>
    <w:multiLevelType w:val="multilevel"/>
    <w:tmpl w:val="C1D6D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F638D5"/>
    <w:multiLevelType w:val="multilevel"/>
    <w:tmpl w:val="13D2A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984A98"/>
    <w:multiLevelType w:val="multilevel"/>
    <w:tmpl w:val="FD401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DE20A0"/>
    <w:multiLevelType w:val="multilevel"/>
    <w:tmpl w:val="B7163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615088"/>
    <w:multiLevelType w:val="multilevel"/>
    <w:tmpl w:val="557E3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18"/>
    <w:rsid w:val="001B2001"/>
    <w:rsid w:val="005864BD"/>
    <w:rsid w:val="00DE3953"/>
    <w:rsid w:val="00DE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39A1"/>
  <w15:docId w15:val="{478B8A2A-B042-4DF8-99E9-DCA1FFB9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wp-content/uploads/2016/01/Background-II.pdf" TargetMode="External"/><Relationship Id="rId13" Type="http://schemas.openxmlformats.org/officeDocument/2006/relationships/hyperlink" Target="http://bocolatinohistory.colorado.edu/document/the-columbine-incident-part-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google.com/presentation/d/1KqiW0KXsMbM_LheTrxAwnxmzeqexl4MsWu4J4-ANb6Y/edit?copiedFromTrash" TargetMode="External"/><Relationship Id="rId12" Type="http://schemas.openxmlformats.org/officeDocument/2006/relationships/hyperlink" Target="http://teachbocolatinohistory.colorado.edu/wp-content/uploads/2016/01/Ludlow-Massacre-Lyrics.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wp-content/uploads/2016/01/Woody-Guthrie.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eachbocolatinohistory.colorado.edu/wp-content/uploads/2016/01/Ludlow-Lette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achbocolatinohistory.colorado.edu/wp-content/uploads/2016/01/Colorado-Ludlow-Massacre.docx" TargetMode="External"/><Relationship Id="rId14" Type="http://schemas.openxmlformats.org/officeDocument/2006/relationships/hyperlink" Target="http://bocolatinohistory.colorado.edu/document/the-columbine-incident-part-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3</cp:revision>
  <cp:lastPrinted>2019-12-11T04:16:00Z</cp:lastPrinted>
  <dcterms:created xsi:type="dcterms:W3CDTF">2019-12-11T04:15:00Z</dcterms:created>
  <dcterms:modified xsi:type="dcterms:W3CDTF">2019-12-11T04:16:00Z</dcterms:modified>
</cp:coreProperties>
</file>