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7EE4" w14:textId="77777777" w:rsidR="009A0D92" w:rsidRDefault="00CC7C22">
      <w:pPr>
        <w:pBdr>
          <w:top w:val="nil"/>
          <w:left w:val="nil"/>
          <w:bottom w:val="nil"/>
          <w:right w:val="nil"/>
          <w:between w:val="nil"/>
        </w:pBdr>
        <w:rPr>
          <w:b/>
          <w:sz w:val="28"/>
          <w:szCs w:val="28"/>
        </w:rPr>
      </w:pPr>
      <w:r>
        <w:rPr>
          <w:b/>
          <w:sz w:val="28"/>
          <w:szCs w:val="28"/>
        </w:rPr>
        <w:t>Title: Migrant Workers:  Tools That Sustain</w:t>
      </w:r>
    </w:p>
    <w:p w14:paraId="05C7D90F" w14:textId="77777777" w:rsidR="009A0D92" w:rsidRDefault="009A0D92">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9A0D92" w14:paraId="21BA3704" w14:textId="77777777">
        <w:tc>
          <w:tcPr>
            <w:tcW w:w="10140" w:type="dxa"/>
            <w:shd w:val="clear" w:color="auto" w:fill="D9EAD3"/>
            <w:tcMar>
              <w:top w:w="100" w:type="dxa"/>
              <w:left w:w="100" w:type="dxa"/>
              <w:bottom w:w="100" w:type="dxa"/>
              <w:right w:w="100" w:type="dxa"/>
            </w:tcMar>
          </w:tcPr>
          <w:p w14:paraId="5EDEBB09" w14:textId="77777777" w:rsidR="009A0D92" w:rsidRDefault="00CC7C22">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7FDD59C2" w14:textId="77777777" w:rsidR="009A0D92" w:rsidRDefault="009A0D92">
      <w:pPr>
        <w:pBdr>
          <w:top w:val="nil"/>
          <w:left w:val="nil"/>
          <w:bottom w:val="nil"/>
          <w:right w:val="nil"/>
          <w:between w:val="nil"/>
        </w:pBdr>
        <w:rPr>
          <w:i/>
          <w:color w:val="FF0000"/>
        </w:rPr>
      </w:pPr>
    </w:p>
    <w:p w14:paraId="69C9685A" w14:textId="77777777" w:rsidR="009A0D92" w:rsidRDefault="00CC7C22">
      <w:pPr>
        <w:pBdr>
          <w:top w:val="nil"/>
          <w:left w:val="nil"/>
          <w:bottom w:val="nil"/>
          <w:right w:val="nil"/>
          <w:between w:val="nil"/>
        </w:pBdr>
        <w:rPr>
          <w:b/>
        </w:rPr>
      </w:pPr>
      <w:bookmarkStart w:id="0" w:name="blm2eldkipfz" w:colFirst="0" w:colLast="0"/>
      <w:bookmarkEnd w:id="0"/>
      <w:r>
        <w:rPr>
          <w:b/>
          <w:color w:val="274E13"/>
          <w:sz w:val="28"/>
          <w:szCs w:val="28"/>
        </w:rPr>
        <w:t>Overview</w:t>
      </w:r>
    </w:p>
    <w:p w14:paraId="6EB52EB7" w14:textId="77777777" w:rsidR="009A0D92" w:rsidRDefault="009A0D92">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9A0D92" w14:paraId="5EE647D0" w14:textId="77777777">
        <w:tc>
          <w:tcPr>
            <w:tcW w:w="2160" w:type="dxa"/>
            <w:shd w:val="clear" w:color="auto" w:fill="auto"/>
            <w:tcMar>
              <w:top w:w="100" w:type="dxa"/>
              <w:left w:w="100" w:type="dxa"/>
              <w:bottom w:w="100" w:type="dxa"/>
              <w:right w:w="100" w:type="dxa"/>
            </w:tcMar>
          </w:tcPr>
          <w:p w14:paraId="37CE2382" w14:textId="77777777" w:rsidR="009A0D92" w:rsidRDefault="00CC7C22">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A3503F8" w14:textId="09BF7369" w:rsidR="009A0D92" w:rsidRDefault="00CC7C22">
            <w:pPr>
              <w:widowControl w:val="0"/>
              <w:pBdr>
                <w:top w:val="nil"/>
                <w:left w:val="nil"/>
                <w:bottom w:val="nil"/>
                <w:right w:val="nil"/>
                <w:between w:val="nil"/>
              </w:pBdr>
              <w:spacing w:line="240" w:lineRule="auto"/>
            </w:pPr>
            <w:r>
              <w:t>The lesson focuses on the farm tools used by migrant workers to tell personal stories.</w:t>
            </w:r>
            <w:r w:rsidR="00E74440">
              <w:t xml:space="preserve"> </w:t>
            </w:r>
            <w:r>
              <w:t>The lesson provides the opportunity for students to learn and appreciate the contributions of migrant workers to our country and how children of the fields learn life le</w:t>
            </w:r>
            <w:r>
              <w:t>ssons. The tools used by migrant workers serve not only to do the manual stoop labor required to provide food for American tables, but also as training tools for lessons that sustain and develop the thirst and hunger for knowledge.</w:t>
            </w:r>
            <w:r w:rsidR="00E74440">
              <w:t xml:space="preserve"> </w:t>
            </w:r>
            <w:r>
              <w:t>Thus grows the drive and</w:t>
            </w:r>
            <w:r>
              <w:t xml:space="preserve"> determination to not only survive, but succeed. The lesson can also be used to highlight local Latino migrant contributions to the U.S. food industry. Extensions offer the opportunity for research into family agricultural/migrant history or other topics o</w:t>
            </w:r>
            <w:r>
              <w:t>f student interest.</w:t>
            </w:r>
          </w:p>
        </w:tc>
      </w:tr>
      <w:tr w:rsidR="009A0D92" w14:paraId="70CFF781" w14:textId="77777777">
        <w:tc>
          <w:tcPr>
            <w:tcW w:w="2160" w:type="dxa"/>
            <w:shd w:val="clear" w:color="auto" w:fill="auto"/>
            <w:tcMar>
              <w:top w:w="100" w:type="dxa"/>
              <w:left w:w="100" w:type="dxa"/>
              <w:bottom w:w="100" w:type="dxa"/>
              <w:right w:w="100" w:type="dxa"/>
            </w:tcMar>
          </w:tcPr>
          <w:p w14:paraId="435DE72E" w14:textId="77777777" w:rsidR="009A0D92" w:rsidRDefault="00CC7C22">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047AA9C7" w14:textId="77777777" w:rsidR="009A0D92" w:rsidRDefault="00CC7C22">
            <w:pPr>
              <w:widowControl w:val="0"/>
              <w:pBdr>
                <w:top w:val="nil"/>
                <w:left w:val="nil"/>
                <w:bottom w:val="nil"/>
                <w:right w:val="nil"/>
                <w:between w:val="nil"/>
              </w:pBdr>
              <w:spacing w:line="240" w:lineRule="auto"/>
            </w:pPr>
            <w:r>
              <w:t>Maria B. Ramirez</w:t>
            </w:r>
          </w:p>
        </w:tc>
      </w:tr>
      <w:tr w:rsidR="009A0D92" w14:paraId="7B7A2120" w14:textId="77777777">
        <w:tc>
          <w:tcPr>
            <w:tcW w:w="2160" w:type="dxa"/>
            <w:shd w:val="clear" w:color="auto" w:fill="auto"/>
            <w:tcMar>
              <w:top w:w="100" w:type="dxa"/>
              <w:left w:w="100" w:type="dxa"/>
              <w:bottom w:w="100" w:type="dxa"/>
              <w:right w:w="100" w:type="dxa"/>
            </w:tcMar>
          </w:tcPr>
          <w:p w14:paraId="75570340" w14:textId="77777777" w:rsidR="009A0D92" w:rsidRDefault="00CC7C22">
            <w:pPr>
              <w:widowControl w:val="0"/>
              <w:pBdr>
                <w:top w:val="nil"/>
                <w:left w:val="nil"/>
                <w:bottom w:val="nil"/>
                <w:right w:val="nil"/>
                <w:between w:val="nil"/>
              </w:pBdr>
              <w:spacing w:line="240" w:lineRule="auto"/>
              <w:rPr>
                <w:b/>
              </w:rPr>
            </w:pPr>
            <w:r>
              <w:rPr>
                <w:b/>
              </w:rPr>
              <w:t>Grade Level/</w:t>
            </w:r>
          </w:p>
          <w:p w14:paraId="2624A3F7" w14:textId="77777777" w:rsidR="009A0D92" w:rsidRDefault="00CC7C22">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66B2FBFE" w14:textId="77777777" w:rsidR="009A0D92" w:rsidRDefault="00CC7C22">
            <w:pPr>
              <w:widowControl w:val="0"/>
              <w:pBdr>
                <w:top w:val="nil"/>
                <w:left w:val="nil"/>
                <w:bottom w:val="nil"/>
                <w:right w:val="nil"/>
                <w:between w:val="nil"/>
              </w:pBdr>
              <w:spacing w:line="240" w:lineRule="auto"/>
            </w:pPr>
            <w:r>
              <w:t xml:space="preserve">Multiple Levels. Depending on the scaffolding, this lesson can be used from 3rd grade on to high school and beyond. This is also a great presentation for parents.  </w:t>
            </w:r>
          </w:p>
        </w:tc>
      </w:tr>
      <w:tr w:rsidR="009A0D92" w14:paraId="32758EF8" w14:textId="77777777">
        <w:tc>
          <w:tcPr>
            <w:tcW w:w="2160" w:type="dxa"/>
            <w:shd w:val="clear" w:color="auto" w:fill="auto"/>
            <w:tcMar>
              <w:top w:w="100" w:type="dxa"/>
              <w:left w:w="100" w:type="dxa"/>
              <w:bottom w:w="100" w:type="dxa"/>
              <w:right w:w="100" w:type="dxa"/>
            </w:tcMar>
          </w:tcPr>
          <w:p w14:paraId="1755D15F" w14:textId="77777777" w:rsidR="009A0D92" w:rsidRDefault="00CC7C22">
            <w:pPr>
              <w:widowControl w:val="0"/>
              <w:pBdr>
                <w:top w:val="nil"/>
                <w:left w:val="nil"/>
                <w:bottom w:val="nil"/>
                <w:right w:val="nil"/>
                <w:between w:val="nil"/>
              </w:pBdr>
              <w:spacing w:before="120" w:line="240" w:lineRule="auto"/>
              <w:rPr>
                <w:b/>
              </w:rPr>
            </w:pPr>
            <w:r>
              <w:rPr>
                <w:b/>
              </w:rPr>
              <w:t>Standards &amp;/or Objectives &amp;/or Goals</w:t>
            </w:r>
          </w:p>
        </w:tc>
        <w:tc>
          <w:tcPr>
            <w:tcW w:w="7770" w:type="dxa"/>
            <w:shd w:val="clear" w:color="auto" w:fill="auto"/>
            <w:tcMar>
              <w:top w:w="100" w:type="dxa"/>
              <w:left w:w="100" w:type="dxa"/>
              <w:bottom w:w="100" w:type="dxa"/>
              <w:right w:w="100" w:type="dxa"/>
            </w:tcMar>
          </w:tcPr>
          <w:p w14:paraId="524DF005" w14:textId="77777777" w:rsidR="009A0D92" w:rsidRDefault="00CC7C22">
            <w:pPr>
              <w:widowControl w:val="0"/>
              <w:pBdr>
                <w:top w:val="nil"/>
                <w:left w:val="nil"/>
                <w:bottom w:val="nil"/>
                <w:right w:val="nil"/>
                <w:between w:val="nil"/>
              </w:pBdr>
              <w:spacing w:line="240" w:lineRule="auto"/>
              <w:rPr>
                <w:b/>
              </w:rPr>
            </w:pPr>
            <w:r>
              <w:rPr>
                <w:b/>
              </w:rPr>
              <w:t>WIDA Can Do Indicators:</w:t>
            </w:r>
          </w:p>
          <w:p w14:paraId="12FDC6BC" w14:textId="77777777" w:rsidR="009A0D92" w:rsidRDefault="00CC7C22">
            <w:pPr>
              <w:widowControl w:val="0"/>
              <w:pBdr>
                <w:top w:val="nil"/>
                <w:left w:val="nil"/>
                <w:bottom w:val="nil"/>
                <w:right w:val="nil"/>
                <w:between w:val="nil"/>
              </w:pBdr>
              <w:spacing w:line="240" w:lineRule="auto"/>
            </w:pPr>
            <w:r>
              <w:t xml:space="preserve">Discuss and give examples of </w:t>
            </w:r>
            <w:r>
              <w:t>abstract, content-based ideas (e.g., democracy, justice)</w:t>
            </w:r>
          </w:p>
          <w:p w14:paraId="2CBDE8C0" w14:textId="77777777" w:rsidR="009A0D92" w:rsidRDefault="00CC7C22">
            <w:pPr>
              <w:widowControl w:val="0"/>
              <w:pBdr>
                <w:top w:val="nil"/>
                <w:left w:val="nil"/>
                <w:bottom w:val="nil"/>
                <w:right w:val="nil"/>
                <w:between w:val="nil"/>
              </w:pBdr>
              <w:spacing w:line="240" w:lineRule="auto"/>
            </w:pPr>
            <w:r>
              <w:t>Negotiate meaning in group discussions</w:t>
            </w:r>
          </w:p>
          <w:p w14:paraId="0C96C80C" w14:textId="77777777" w:rsidR="009A0D92" w:rsidRDefault="00CC7C22">
            <w:pPr>
              <w:widowControl w:val="0"/>
              <w:pBdr>
                <w:top w:val="nil"/>
                <w:left w:val="nil"/>
                <w:bottom w:val="nil"/>
                <w:right w:val="nil"/>
                <w:between w:val="nil"/>
              </w:pBdr>
              <w:spacing w:line="240" w:lineRule="auto"/>
            </w:pPr>
            <w:r>
              <w:t>Defend a point of view and give reasons</w:t>
            </w:r>
          </w:p>
          <w:p w14:paraId="0F8533FA" w14:textId="77777777" w:rsidR="009A0D92" w:rsidRDefault="00CC7C22">
            <w:pPr>
              <w:widowControl w:val="0"/>
              <w:pBdr>
                <w:top w:val="nil"/>
                <w:left w:val="nil"/>
                <w:bottom w:val="nil"/>
                <w:right w:val="nil"/>
                <w:between w:val="nil"/>
              </w:pBdr>
              <w:spacing w:line="240" w:lineRule="auto"/>
            </w:pPr>
            <w:r>
              <w:t>Substantiate opinions with reasons and evidence</w:t>
            </w:r>
          </w:p>
          <w:p w14:paraId="0427B978" w14:textId="77777777" w:rsidR="009A0D92" w:rsidRDefault="009A0D92">
            <w:pPr>
              <w:widowControl w:val="0"/>
              <w:pBdr>
                <w:top w:val="nil"/>
                <w:left w:val="nil"/>
                <w:bottom w:val="nil"/>
                <w:right w:val="nil"/>
                <w:between w:val="nil"/>
              </w:pBdr>
              <w:spacing w:line="240" w:lineRule="auto"/>
            </w:pPr>
          </w:p>
          <w:p w14:paraId="0302D430" w14:textId="77777777" w:rsidR="009A0D92" w:rsidRDefault="00CC7C22">
            <w:pPr>
              <w:widowControl w:val="0"/>
              <w:pBdr>
                <w:top w:val="nil"/>
                <w:left w:val="nil"/>
                <w:bottom w:val="nil"/>
                <w:right w:val="nil"/>
                <w:between w:val="nil"/>
              </w:pBdr>
              <w:spacing w:line="240" w:lineRule="auto"/>
              <w:rPr>
                <w:b/>
              </w:rPr>
            </w:pPr>
            <w:r>
              <w:rPr>
                <w:b/>
              </w:rPr>
              <w:t>Middle School Evidence Outcomes:</w:t>
            </w:r>
          </w:p>
          <w:p w14:paraId="1E92F3A1" w14:textId="77777777" w:rsidR="009A0D92" w:rsidRDefault="00CC7C22">
            <w:pPr>
              <w:widowControl w:val="0"/>
              <w:pBdr>
                <w:top w:val="nil"/>
                <w:left w:val="nil"/>
                <w:bottom w:val="nil"/>
                <w:right w:val="nil"/>
                <w:between w:val="nil"/>
              </w:pBdr>
              <w:spacing w:line="240" w:lineRule="auto"/>
            </w:pPr>
            <w:r>
              <w:t xml:space="preserve">Evaluate the impact of different factors </w:t>
            </w:r>
          </w:p>
          <w:p w14:paraId="06993831" w14:textId="77777777" w:rsidR="009A0D92" w:rsidRDefault="00CC7C22">
            <w:pPr>
              <w:widowControl w:val="0"/>
              <w:pBdr>
                <w:top w:val="nil"/>
                <w:left w:val="nil"/>
                <w:bottom w:val="nil"/>
                <w:right w:val="nil"/>
                <w:between w:val="nil"/>
              </w:pBdr>
              <w:spacing w:line="240" w:lineRule="auto"/>
            </w:pPr>
            <w:r>
              <w:t>– on topics that include but are not limited to gender, age, ethnicity, and class – on groups and individuals in this time period and the impact of these groups and individuals on the events of the time period.</w:t>
            </w:r>
          </w:p>
          <w:p w14:paraId="3F0D6BF8" w14:textId="77777777" w:rsidR="009A0D92" w:rsidRDefault="00CC7C22">
            <w:pPr>
              <w:widowControl w:val="0"/>
              <w:pBdr>
                <w:top w:val="nil"/>
                <w:left w:val="nil"/>
                <w:bottom w:val="nil"/>
                <w:right w:val="nil"/>
                <w:between w:val="nil"/>
              </w:pBdr>
              <w:spacing w:before="120" w:line="240" w:lineRule="auto"/>
            </w:pPr>
            <w:r>
              <w:t>Sev</w:t>
            </w:r>
            <w:r>
              <w:t xml:space="preserve">eral multicultural migrant contributions to the U.S. economy, particularly in agriculture. Appreciation of contributions made by all kinds of people to American agriculture and the sustainment of affordable food.  </w:t>
            </w:r>
          </w:p>
          <w:p w14:paraId="00F3DD78" w14:textId="77777777" w:rsidR="009A0D92" w:rsidRDefault="00CC7C22">
            <w:pPr>
              <w:widowControl w:val="0"/>
              <w:pBdr>
                <w:top w:val="nil"/>
                <w:left w:val="nil"/>
                <w:bottom w:val="nil"/>
                <w:right w:val="nil"/>
                <w:between w:val="nil"/>
              </w:pBdr>
              <w:spacing w:before="120" w:line="240" w:lineRule="auto"/>
              <w:rPr>
                <w:b/>
              </w:rPr>
            </w:pPr>
            <w:r>
              <w:rPr>
                <w:b/>
              </w:rPr>
              <w:t>Elementary Evidence Outcomes:</w:t>
            </w:r>
          </w:p>
          <w:p w14:paraId="2683E5F0" w14:textId="77777777" w:rsidR="009A0D92" w:rsidRDefault="00CC7C22">
            <w:pPr>
              <w:widowControl w:val="0"/>
              <w:pBdr>
                <w:top w:val="nil"/>
                <w:left w:val="nil"/>
                <w:bottom w:val="nil"/>
                <w:right w:val="nil"/>
                <w:between w:val="nil"/>
              </w:pBdr>
              <w:spacing w:before="120" w:line="240" w:lineRule="auto"/>
            </w:pPr>
            <w:r>
              <w:t>Describe th</w:t>
            </w:r>
            <w:r>
              <w:t>e history, interaction, and contribution of the various peoples and cultures that have lived in or migrated to a community or region.</w:t>
            </w:r>
          </w:p>
          <w:p w14:paraId="2D18FB83" w14:textId="77777777" w:rsidR="009A0D92" w:rsidRDefault="009A0D92">
            <w:pPr>
              <w:widowControl w:val="0"/>
              <w:pBdr>
                <w:top w:val="nil"/>
                <w:left w:val="nil"/>
                <w:bottom w:val="nil"/>
                <w:right w:val="nil"/>
                <w:between w:val="nil"/>
              </w:pBdr>
              <w:spacing w:line="240" w:lineRule="auto"/>
            </w:pPr>
          </w:p>
        </w:tc>
      </w:tr>
      <w:tr w:rsidR="009A0D92" w14:paraId="6788AD78" w14:textId="77777777">
        <w:tc>
          <w:tcPr>
            <w:tcW w:w="2160" w:type="dxa"/>
            <w:shd w:val="clear" w:color="auto" w:fill="auto"/>
            <w:tcMar>
              <w:top w:w="100" w:type="dxa"/>
              <w:left w:w="100" w:type="dxa"/>
              <w:bottom w:w="100" w:type="dxa"/>
              <w:right w:w="100" w:type="dxa"/>
            </w:tcMar>
          </w:tcPr>
          <w:p w14:paraId="62FA8F07" w14:textId="77777777" w:rsidR="009A0D92" w:rsidRDefault="00CC7C22">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414DFA50" w14:textId="10BB2ED5" w:rsidR="009A0D92" w:rsidRDefault="00CC7C22">
            <w:pPr>
              <w:widowControl w:val="0"/>
              <w:pBdr>
                <w:top w:val="nil"/>
                <w:left w:val="nil"/>
                <w:bottom w:val="nil"/>
                <w:right w:val="nil"/>
                <w:between w:val="nil"/>
              </w:pBdr>
              <w:spacing w:line="240" w:lineRule="auto"/>
            </w:pPr>
            <w:r>
              <w:t>Multi-Class or one class period,</w:t>
            </w:r>
            <w:r>
              <w:t xml:space="preserve"> 45 - 180 minutes, give or take depending on discussion. A follow-up Socratic Seminar can take an additional 35 to 45 </w:t>
            </w:r>
            <w:r>
              <w:lastRenderedPageBreak/>
              <w:t>minutes.</w:t>
            </w:r>
          </w:p>
        </w:tc>
      </w:tr>
      <w:tr w:rsidR="009A0D92" w14:paraId="6F8E8142" w14:textId="77777777">
        <w:tc>
          <w:tcPr>
            <w:tcW w:w="2160" w:type="dxa"/>
            <w:shd w:val="clear" w:color="auto" w:fill="auto"/>
            <w:tcMar>
              <w:top w:w="100" w:type="dxa"/>
              <w:left w:w="100" w:type="dxa"/>
              <w:bottom w:w="100" w:type="dxa"/>
              <w:right w:w="100" w:type="dxa"/>
            </w:tcMar>
          </w:tcPr>
          <w:p w14:paraId="0173CFB4" w14:textId="77777777" w:rsidR="009A0D92" w:rsidRDefault="00CC7C22">
            <w:pPr>
              <w:widowControl w:val="0"/>
              <w:pBdr>
                <w:top w:val="nil"/>
                <w:left w:val="nil"/>
                <w:bottom w:val="nil"/>
                <w:right w:val="nil"/>
                <w:between w:val="nil"/>
              </w:pBdr>
              <w:spacing w:line="240" w:lineRule="auto"/>
            </w:pPr>
            <w:r>
              <w:rPr>
                <w:b/>
              </w:rPr>
              <w:lastRenderedPageBreak/>
              <w:t>Topic</w:t>
            </w:r>
          </w:p>
        </w:tc>
        <w:tc>
          <w:tcPr>
            <w:tcW w:w="7770" w:type="dxa"/>
            <w:shd w:val="clear" w:color="auto" w:fill="auto"/>
            <w:tcMar>
              <w:top w:w="100" w:type="dxa"/>
              <w:left w:w="100" w:type="dxa"/>
              <w:bottom w:w="100" w:type="dxa"/>
              <w:right w:w="100" w:type="dxa"/>
            </w:tcMar>
          </w:tcPr>
          <w:p w14:paraId="52F3F093" w14:textId="77777777" w:rsidR="009A0D92" w:rsidRDefault="00CC7C22">
            <w:pPr>
              <w:widowControl w:val="0"/>
              <w:pBdr>
                <w:top w:val="nil"/>
                <w:left w:val="nil"/>
                <w:bottom w:val="nil"/>
                <w:right w:val="nil"/>
                <w:between w:val="nil"/>
              </w:pBdr>
              <w:spacing w:line="240" w:lineRule="auto"/>
            </w:pPr>
            <w:r>
              <w:t>Farm work/agriculture/ranching, Migrant workers, Work done by women and children</w:t>
            </w:r>
          </w:p>
          <w:p w14:paraId="73611C7B" w14:textId="77777777" w:rsidR="009A0D92" w:rsidRDefault="00CC7C22">
            <w:pPr>
              <w:widowControl w:val="0"/>
              <w:pBdr>
                <w:top w:val="nil"/>
                <w:left w:val="nil"/>
                <w:bottom w:val="nil"/>
                <w:right w:val="nil"/>
                <w:between w:val="nil"/>
              </w:pBdr>
              <w:spacing w:line="240" w:lineRule="auto"/>
            </w:pPr>
            <w:r>
              <w:t xml:space="preserve">Outline </w:t>
            </w:r>
            <w:r>
              <w:t xml:space="preserve">topic: Agricultural work, especially with sugar beets, 1900-1940; Immigration and employment, 1940-1965; Empowerment through new opportunities for work, 1966-1980; </w:t>
            </w:r>
          </w:p>
        </w:tc>
      </w:tr>
      <w:tr w:rsidR="009A0D92" w14:paraId="4066BE73" w14:textId="77777777">
        <w:tc>
          <w:tcPr>
            <w:tcW w:w="2160" w:type="dxa"/>
            <w:shd w:val="clear" w:color="auto" w:fill="auto"/>
            <w:tcMar>
              <w:top w:w="100" w:type="dxa"/>
              <w:left w:w="100" w:type="dxa"/>
              <w:bottom w:w="100" w:type="dxa"/>
              <w:right w:w="100" w:type="dxa"/>
            </w:tcMar>
          </w:tcPr>
          <w:p w14:paraId="4901B471" w14:textId="77777777" w:rsidR="009A0D92" w:rsidRDefault="00CC7C22">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61742971" w14:textId="77777777" w:rsidR="009A0D92" w:rsidRDefault="00CC7C22">
            <w:pPr>
              <w:widowControl w:val="0"/>
              <w:pBdr>
                <w:top w:val="nil"/>
                <w:left w:val="nil"/>
                <w:bottom w:val="nil"/>
                <w:right w:val="nil"/>
                <w:between w:val="nil"/>
              </w:pBdr>
              <w:spacing w:line="240" w:lineRule="auto"/>
            </w:pPr>
            <w:r>
              <w:t>1940-1965, 1966-70s, 1980s-90s, 2000-2013</w:t>
            </w:r>
          </w:p>
        </w:tc>
      </w:tr>
      <w:tr w:rsidR="009A0D92" w14:paraId="2BD5FDDE" w14:textId="77777777">
        <w:tc>
          <w:tcPr>
            <w:tcW w:w="2160" w:type="dxa"/>
            <w:shd w:val="clear" w:color="auto" w:fill="auto"/>
            <w:tcMar>
              <w:top w:w="100" w:type="dxa"/>
              <w:left w:w="100" w:type="dxa"/>
              <w:bottom w:w="100" w:type="dxa"/>
              <w:right w:w="100" w:type="dxa"/>
            </w:tcMar>
          </w:tcPr>
          <w:p w14:paraId="40A518EB" w14:textId="77777777" w:rsidR="009A0D92" w:rsidRDefault="00CC7C22">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18B9D2BB" w14:textId="77777777" w:rsidR="009A0D92" w:rsidRDefault="00CC7C22">
            <w:pPr>
              <w:widowControl w:val="0"/>
              <w:pBdr>
                <w:top w:val="nil"/>
                <w:left w:val="nil"/>
                <w:bottom w:val="nil"/>
                <w:right w:val="nil"/>
                <w:between w:val="nil"/>
              </w:pBdr>
              <w:spacing w:line="240" w:lineRule="auto"/>
            </w:pPr>
            <w:r>
              <w:t xml:space="preserve">migrant workers, tools, short-handled hoes (el </w:t>
            </w:r>
            <w:proofErr w:type="spellStart"/>
            <w:r>
              <w:t>cortito</w:t>
            </w:r>
            <w:proofErr w:type="spellEnd"/>
            <w:r>
              <w:t xml:space="preserve">), </w:t>
            </w:r>
            <w:proofErr w:type="spellStart"/>
            <w:r>
              <w:t>weeders</w:t>
            </w:r>
            <w:proofErr w:type="spellEnd"/>
            <w:r>
              <w:t>, potato belts, thinning, weeding, topping, harvesting, picking, families, child labor, field work, farm work</w:t>
            </w:r>
          </w:p>
        </w:tc>
      </w:tr>
    </w:tbl>
    <w:p w14:paraId="4B78EE63" w14:textId="77777777" w:rsidR="009A0D92" w:rsidRDefault="009A0D92">
      <w:pPr>
        <w:pBdr>
          <w:top w:val="nil"/>
          <w:left w:val="nil"/>
          <w:bottom w:val="nil"/>
          <w:right w:val="nil"/>
          <w:between w:val="nil"/>
        </w:pBdr>
      </w:pPr>
    </w:p>
    <w:p w14:paraId="795E2367" w14:textId="77777777" w:rsidR="009A0D92" w:rsidRDefault="009A0D92">
      <w:pPr>
        <w:pBdr>
          <w:top w:val="nil"/>
          <w:left w:val="nil"/>
          <w:bottom w:val="nil"/>
          <w:right w:val="nil"/>
          <w:between w:val="nil"/>
        </w:pBdr>
      </w:pPr>
    </w:p>
    <w:p w14:paraId="2B8125A6" w14:textId="77777777" w:rsidR="009A0D92" w:rsidRDefault="00CC7C22">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148E1545" w14:textId="77777777" w:rsidR="009A0D92" w:rsidRDefault="009A0D92">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9A0D92" w14:paraId="4A8EA4B6" w14:textId="77777777">
        <w:tc>
          <w:tcPr>
            <w:tcW w:w="2175" w:type="dxa"/>
            <w:shd w:val="clear" w:color="auto" w:fill="auto"/>
            <w:tcMar>
              <w:top w:w="100" w:type="dxa"/>
              <w:left w:w="100" w:type="dxa"/>
              <w:bottom w:w="100" w:type="dxa"/>
              <w:right w:w="100" w:type="dxa"/>
            </w:tcMar>
          </w:tcPr>
          <w:p w14:paraId="29D2A1E1" w14:textId="77777777" w:rsidR="009A0D92" w:rsidRDefault="00CC7C22">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4E2B4244" w14:textId="3E4E0656" w:rsidR="00043813" w:rsidRDefault="00CC7C22">
            <w:pPr>
              <w:widowControl w:val="0"/>
              <w:pBdr>
                <w:top w:val="nil"/>
                <w:left w:val="nil"/>
                <w:bottom w:val="nil"/>
                <w:right w:val="nil"/>
                <w:between w:val="nil"/>
              </w:pBdr>
              <w:spacing w:line="240" w:lineRule="auto"/>
              <w:rPr>
                <w:b/>
              </w:rPr>
            </w:pPr>
            <w:hyperlink r:id="rId7">
              <w:r>
                <w:rPr>
                  <w:b/>
                  <w:color w:val="1155CC"/>
                  <w:u w:val="single"/>
                </w:rPr>
                <w:t>Migrant Wor</w:t>
              </w:r>
              <w:r>
                <w:rPr>
                  <w:b/>
                  <w:color w:val="1155CC"/>
                  <w:u w:val="single"/>
                </w:rPr>
                <w:t>k</w:t>
              </w:r>
              <w:r>
                <w:rPr>
                  <w:b/>
                  <w:color w:val="1155CC"/>
                  <w:u w:val="single"/>
                </w:rPr>
                <w:t xml:space="preserve">ers: </w:t>
              </w:r>
              <w:r>
                <w:rPr>
                  <w:b/>
                  <w:color w:val="1155CC"/>
                  <w:u w:val="single"/>
                </w:rPr>
                <w:t>Tools t</w:t>
              </w:r>
              <w:r>
                <w:rPr>
                  <w:b/>
                  <w:color w:val="1155CC"/>
                  <w:u w:val="single"/>
                </w:rPr>
                <w:t>h</w:t>
              </w:r>
              <w:r>
                <w:rPr>
                  <w:b/>
                  <w:color w:val="1155CC"/>
                  <w:u w:val="single"/>
                </w:rPr>
                <w:t>at Sustain PowerPoint</w:t>
              </w:r>
            </w:hyperlink>
            <w:r>
              <w:rPr>
                <w:b/>
              </w:rPr>
              <w:t xml:space="preserve">, </w:t>
            </w:r>
            <w:r>
              <w:rPr>
                <w:b/>
              </w:rPr>
              <w:t>- Sl</w:t>
            </w:r>
            <w:r>
              <w:rPr>
                <w:b/>
              </w:rPr>
              <w:t>ide show of migrant tools with written commentary by Maria Ramirez</w:t>
            </w:r>
            <w:r w:rsidR="00043813">
              <w:rPr>
                <w:b/>
              </w:rPr>
              <w:t xml:space="preserve"> </w:t>
            </w:r>
          </w:p>
          <w:p w14:paraId="1098F5DB" w14:textId="0042D7A4" w:rsidR="009A0D92" w:rsidRDefault="00043813">
            <w:pPr>
              <w:widowControl w:val="0"/>
              <w:pBdr>
                <w:top w:val="nil"/>
                <w:left w:val="nil"/>
                <w:bottom w:val="nil"/>
                <w:right w:val="nil"/>
                <w:between w:val="nil"/>
              </w:pBdr>
              <w:spacing w:line="240" w:lineRule="auto"/>
              <w:rPr>
                <w:b/>
              </w:rPr>
            </w:pPr>
            <w:r>
              <w:rPr>
                <w:b/>
              </w:rPr>
              <w:t xml:space="preserve">Alternative Links: </w:t>
            </w:r>
            <w:hyperlink r:id="rId8" w:history="1">
              <w:r w:rsidRPr="00043813">
                <w:rPr>
                  <w:rStyle w:val="Hyperlink"/>
                  <w:b/>
                </w:rPr>
                <w:t>Part 1</w:t>
              </w:r>
            </w:hyperlink>
            <w:r>
              <w:rPr>
                <w:b/>
              </w:rPr>
              <w:t xml:space="preserve"> &amp; </w:t>
            </w:r>
            <w:hyperlink r:id="rId9" w:history="1">
              <w:r w:rsidRPr="00043813">
                <w:rPr>
                  <w:rStyle w:val="Hyperlink"/>
                  <w:b/>
                </w:rPr>
                <w:t>Part 2</w:t>
              </w:r>
              <w:r w:rsidR="00CC7C22" w:rsidRPr="00043813">
                <w:rPr>
                  <w:rStyle w:val="Hyperlink"/>
                  <w:b/>
                </w:rPr>
                <w:t xml:space="preserve"> </w:t>
              </w:r>
            </w:hyperlink>
            <w:r w:rsidR="00CC7C22">
              <w:rPr>
                <w:b/>
              </w:rPr>
              <w:t xml:space="preserve"> </w:t>
            </w:r>
          </w:p>
          <w:p w14:paraId="571C801D" w14:textId="77777777" w:rsidR="009A0D92" w:rsidRDefault="009A0D92">
            <w:pPr>
              <w:widowControl w:val="0"/>
              <w:pBdr>
                <w:top w:val="nil"/>
                <w:left w:val="nil"/>
                <w:bottom w:val="nil"/>
                <w:right w:val="nil"/>
                <w:between w:val="nil"/>
              </w:pBdr>
              <w:spacing w:line="240" w:lineRule="auto"/>
              <w:rPr>
                <w:b/>
              </w:rPr>
            </w:pPr>
          </w:p>
          <w:p w14:paraId="7B6BC328" w14:textId="153E2821" w:rsidR="009A0D92" w:rsidRDefault="00CC7C22">
            <w:pPr>
              <w:widowControl w:val="0"/>
              <w:pBdr>
                <w:top w:val="nil"/>
                <w:left w:val="nil"/>
                <w:bottom w:val="nil"/>
                <w:right w:val="nil"/>
                <w:between w:val="nil"/>
              </w:pBdr>
              <w:spacing w:line="240" w:lineRule="auto"/>
              <w:rPr>
                <w:b/>
              </w:rPr>
            </w:pPr>
            <w:hyperlink r:id="rId10">
              <w:r>
                <w:rPr>
                  <w:b/>
                  <w:color w:val="1155CC"/>
                  <w:u w:val="single"/>
                </w:rPr>
                <w:t>Student Note Taking For</w:t>
              </w:r>
              <w:r>
                <w:rPr>
                  <w:b/>
                  <w:color w:val="1155CC"/>
                  <w:u w:val="single"/>
                </w:rPr>
                <w:t>m</w:t>
              </w:r>
            </w:hyperlink>
          </w:p>
          <w:p w14:paraId="702AC193" w14:textId="77777777" w:rsidR="009A0D92" w:rsidRDefault="00CC7C22">
            <w:pPr>
              <w:widowControl w:val="0"/>
              <w:pBdr>
                <w:top w:val="nil"/>
                <w:left w:val="nil"/>
                <w:bottom w:val="nil"/>
                <w:right w:val="nil"/>
                <w:between w:val="nil"/>
              </w:pBdr>
              <w:spacing w:line="240" w:lineRule="auto"/>
              <w:rPr>
                <w:b/>
              </w:rPr>
            </w:pPr>
            <w:r>
              <w:rPr>
                <w:b/>
              </w:rPr>
              <w:t xml:space="preserve"> </w:t>
            </w:r>
          </w:p>
          <w:p w14:paraId="335121E9" w14:textId="77777777" w:rsidR="009A0D92" w:rsidRDefault="00CC7C22">
            <w:pPr>
              <w:widowControl w:val="0"/>
              <w:pBdr>
                <w:top w:val="nil"/>
                <w:left w:val="nil"/>
                <w:bottom w:val="nil"/>
                <w:right w:val="nil"/>
                <w:between w:val="nil"/>
              </w:pBdr>
              <w:spacing w:line="240" w:lineRule="auto"/>
              <w:rPr>
                <w:b/>
              </w:rPr>
            </w:pPr>
            <w:hyperlink r:id="rId11">
              <w:r>
                <w:rPr>
                  <w:b/>
                  <w:color w:val="1155CC"/>
                  <w:u w:val="single"/>
                </w:rPr>
                <w:t xml:space="preserve">Video Presentation of </w:t>
              </w:r>
              <w:r>
                <w:rPr>
                  <w:b/>
                  <w:color w:val="1155CC"/>
                  <w:u w:val="single"/>
                </w:rPr>
                <w:t>T</w:t>
              </w:r>
              <w:r>
                <w:rPr>
                  <w:b/>
                  <w:color w:val="1155CC"/>
                  <w:u w:val="single"/>
                </w:rPr>
                <w:t xml:space="preserve">ools That Sustain by Maria Ramirez </w:t>
              </w:r>
            </w:hyperlink>
            <w:r>
              <w:rPr>
                <w:b/>
              </w:rPr>
              <w:t xml:space="preserve">- Video of Maria showing the tools and telling personal stories of migrant workers and their families. Brief historical introduction by Carlota Hernandez.  </w:t>
            </w:r>
          </w:p>
        </w:tc>
      </w:tr>
      <w:tr w:rsidR="009A0D92" w14:paraId="07D7EE1C" w14:textId="77777777">
        <w:tc>
          <w:tcPr>
            <w:tcW w:w="2175" w:type="dxa"/>
            <w:shd w:val="clear" w:color="auto" w:fill="auto"/>
            <w:tcMar>
              <w:top w:w="100" w:type="dxa"/>
              <w:left w:w="100" w:type="dxa"/>
              <w:bottom w:w="100" w:type="dxa"/>
              <w:right w:w="100" w:type="dxa"/>
            </w:tcMar>
          </w:tcPr>
          <w:p w14:paraId="5D51B561" w14:textId="77777777" w:rsidR="009A0D92" w:rsidRDefault="00CC7C22">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22A82D38" w14:textId="0DD30557" w:rsidR="009A0D92" w:rsidRDefault="00CC7C22">
            <w:pPr>
              <w:widowControl w:val="0"/>
              <w:pBdr>
                <w:top w:val="nil"/>
                <w:left w:val="nil"/>
                <w:bottom w:val="nil"/>
                <w:right w:val="nil"/>
                <w:between w:val="nil"/>
              </w:pBdr>
              <w:spacing w:line="240" w:lineRule="auto"/>
              <w:rPr>
                <w:b/>
                <w:color w:val="1155CC"/>
                <w:u w:val="single"/>
              </w:rPr>
            </w:pPr>
            <w:hyperlink r:id="rId12">
              <w:r>
                <w:rPr>
                  <w:b/>
                  <w:color w:val="1155CC"/>
                  <w:u w:val="single"/>
                </w:rPr>
                <w:t xml:space="preserve">Migrant Workers: </w:t>
              </w:r>
              <w:r>
                <w:rPr>
                  <w:b/>
                  <w:color w:val="1155CC"/>
                  <w:u w:val="single"/>
                </w:rPr>
                <w:t>Tools that Sustain, PowerPoint</w:t>
              </w:r>
            </w:hyperlink>
          </w:p>
          <w:p w14:paraId="73809413" w14:textId="4F55B3C4" w:rsidR="00043813" w:rsidRDefault="00043813">
            <w:pPr>
              <w:widowControl w:val="0"/>
              <w:pBdr>
                <w:top w:val="nil"/>
                <w:left w:val="nil"/>
                <w:bottom w:val="nil"/>
                <w:right w:val="nil"/>
                <w:between w:val="nil"/>
              </w:pBdr>
              <w:spacing w:line="240" w:lineRule="auto"/>
              <w:rPr>
                <w:b/>
              </w:rPr>
            </w:pPr>
            <w:r>
              <w:rPr>
                <w:b/>
              </w:rPr>
              <w:t xml:space="preserve">Alternative Links: </w:t>
            </w:r>
            <w:hyperlink r:id="rId13" w:history="1">
              <w:r w:rsidRPr="00043813">
                <w:rPr>
                  <w:rStyle w:val="Hyperlink"/>
                  <w:b/>
                </w:rPr>
                <w:t>Part 1</w:t>
              </w:r>
            </w:hyperlink>
            <w:r>
              <w:rPr>
                <w:b/>
              </w:rPr>
              <w:t xml:space="preserve"> &amp; </w:t>
            </w:r>
            <w:hyperlink r:id="rId14" w:history="1">
              <w:r w:rsidRPr="00043813">
                <w:rPr>
                  <w:rStyle w:val="Hyperlink"/>
                  <w:b/>
                </w:rPr>
                <w:t xml:space="preserve">Part 2 </w:t>
              </w:r>
            </w:hyperlink>
            <w:r>
              <w:rPr>
                <w:b/>
              </w:rPr>
              <w:t xml:space="preserve"> </w:t>
            </w:r>
          </w:p>
          <w:p w14:paraId="28DB9529" w14:textId="77777777" w:rsidR="009A0D92" w:rsidRDefault="009A0D92">
            <w:pPr>
              <w:widowControl w:val="0"/>
              <w:pBdr>
                <w:top w:val="nil"/>
                <w:left w:val="nil"/>
                <w:bottom w:val="nil"/>
                <w:right w:val="nil"/>
                <w:between w:val="nil"/>
              </w:pBdr>
              <w:spacing w:line="240" w:lineRule="auto"/>
              <w:rPr>
                <w:b/>
              </w:rPr>
            </w:pPr>
          </w:p>
          <w:p w14:paraId="0AF61B3E" w14:textId="77777777" w:rsidR="009A0D92" w:rsidRDefault="00CC7C22">
            <w:pPr>
              <w:widowControl w:val="0"/>
              <w:pBdr>
                <w:top w:val="nil"/>
                <w:left w:val="nil"/>
                <w:bottom w:val="nil"/>
                <w:right w:val="nil"/>
                <w:between w:val="nil"/>
              </w:pBdr>
              <w:spacing w:line="240" w:lineRule="auto"/>
              <w:rPr>
                <w:b/>
              </w:rPr>
            </w:pPr>
            <w:hyperlink r:id="rId15">
              <w:r>
                <w:rPr>
                  <w:b/>
                  <w:color w:val="1155CC"/>
                  <w:u w:val="single"/>
                </w:rPr>
                <w:t>Video P</w:t>
              </w:r>
              <w:r>
                <w:rPr>
                  <w:b/>
                  <w:color w:val="1155CC"/>
                  <w:u w:val="single"/>
                </w:rPr>
                <w:t xml:space="preserve">resentation of Tools That Sustain by Maria Ramirez </w:t>
              </w:r>
            </w:hyperlink>
          </w:p>
          <w:p w14:paraId="1E7FC8BB" w14:textId="77777777" w:rsidR="009A0D92" w:rsidRDefault="00CC7C22">
            <w:pPr>
              <w:widowControl w:val="0"/>
              <w:pBdr>
                <w:top w:val="nil"/>
                <w:left w:val="nil"/>
                <w:bottom w:val="nil"/>
                <w:right w:val="nil"/>
                <w:between w:val="nil"/>
              </w:pBdr>
              <w:spacing w:before="128" w:line="240" w:lineRule="auto"/>
              <w:rPr>
                <w:b/>
              </w:rPr>
            </w:pPr>
            <w:r>
              <w:t xml:space="preserve">Show this video without volume to illustrate the topping of the onions (first few minutes of video):  </w:t>
            </w:r>
            <w:hyperlink r:id="rId16">
              <w:r>
                <w:rPr>
                  <w:color w:val="0000FF"/>
                  <w:u w:val="single"/>
                </w:rPr>
                <w:t>https://www.youtube.com/watch?v=yu</w:t>
              </w:r>
              <w:r>
                <w:rPr>
                  <w:color w:val="0000FF"/>
                  <w:u w:val="single"/>
                </w:rPr>
                <w:t>O</w:t>
              </w:r>
              <w:r>
                <w:rPr>
                  <w:color w:val="0000FF"/>
                  <w:u w:val="single"/>
                </w:rPr>
                <w:t>9t0Y</w:t>
              </w:r>
              <w:r>
                <w:rPr>
                  <w:color w:val="0000FF"/>
                  <w:u w:val="single"/>
                </w:rPr>
                <w:t>1rmg</w:t>
              </w:r>
            </w:hyperlink>
            <w:r>
              <w:rPr>
                <w:b/>
              </w:rPr>
              <w:t xml:space="preserve">  </w:t>
            </w:r>
          </w:p>
          <w:p w14:paraId="2744720C" w14:textId="77777777" w:rsidR="009A0D92" w:rsidRDefault="00CC7C22">
            <w:pPr>
              <w:widowControl w:val="0"/>
              <w:pBdr>
                <w:top w:val="nil"/>
                <w:left w:val="nil"/>
                <w:bottom w:val="nil"/>
                <w:right w:val="nil"/>
                <w:between w:val="nil"/>
              </w:pBdr>
              <w:spacing w:before="128" w:line="240" w:lineRule="auto"/>
              <w:rPr>
                <w:color w:val="0000FF"/>
              </w:rPr>
            </w:pPr>
            <w:r>
              <w:t xml:space="preserve">Cesar Chavez Video: </w:t>
            </w:r>
            <w:hyperlink r:id="rId17">
              <w:r>
                <w:rPr>
                  <w:color w:val="0000FF"/>
                  <w:u w:val="single"/>
                </w:rPr>
                <w:t>https://youtu.b</w:t>
              </w:r>
              <w:r>
                <w:rPr>
                  <w:color w:val="0000FF"/>
                  <w:u w:val="single"/>
                </w:rPr>
                <w:t>e</w:t>
              </w:r>
              <w:r>
                <w:rPr>
                  <w:color w:val="0000FF"/>
                  <w:u w:val="single"/>
                </w:rPr>
                <w:t>/-yDOjZMON78</w:t>
              </w:r>
            </w:hyperlink>
            <w:hyperlink r:id="rId18">
              <w:r>
                <w:rPr>
                  <w:color w:val="0000FF"/>
                </w:rPr>
                <w:t xml:space="preserve"> </w:t>
              </w:r>
            </w:hyperlink>
          </w:p>
        </w:tc>
      </w:tr>
    </w:tbl>
    <w:p w14:paraId="01D6610C" w14:textId="77777777" w:rsidR="009A0D92" w:rsidRDefault="009A0D92">
      <w:pPr>
        <w:pBdr>
          <w:top w:val="nil"/>
          <w:left w:val="nil"/>
          <w:bottom w:val="nil"/>
          <w:right w:val="nil"/>
          <w:between w:val="nil"/>
        </w:pBdr>
        <w:rPr>
          <w:b/>
        </w:rPr>
      </w:pPr>
    </w:p>
    <w:p w14:paraId="1855B7AB" w14:textId="77777777" w:rsidR="009A0D92" w:rsidRDefault="009A0D92">
      <w:pPr>
        <w:pBdr>
          <w:top w:val="nil"/>
          <w:left w:val="nil"/>
          <w:bottom w:val="nil"/>
          <w:right w:val="nil"/>
          <w:between w:val="nil"/>
        </w:pBdr>
        <w:rPr>
          <w:b/>
          <w:color w:val="274E13"/>
          <w:sz w:val="28"/>
          <w:szCs w:val="28"/>
        </w:rPr>
      </w:pPr>
    </w:p>
    <w:p w14:paraId="2B73D857" w14:textId="77777777" w:rsidR="009A0D92" w:rsidRDefault="00CC7C22">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163F5B73" w14:textId="77777777" w:rsidR="009A0D92" w:rsidRDefault="009A0D92">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9A0D92" w14:paraId="7CF9C752" w14:textId="77777777">
        <w:tc>
          <w:tcPr>
            <w:tcW w:w="9915" w:type="dxa"/>
            <w:shd w:val="clear" w:color="auto" w:fill="auto"/>
            <w:tcMar>
              <w:top w:w="100" w:type="dxa"/>
              <w:left w:w="100" w:type="dxa"/>
              <w:bottom w:w="100" w:type="dxa"/>
              <w:right w:w="100" w:type="dxa"/>
            </w:tcMar>
          </w:tcPr>
          <w:p w14:paraId="17A3F617" w14:textId="77777777" w:rsidR="009A0D92" w:rsidRDefault="00CC7C22">
            <w:pPr>
              <w:widowControl w:val="0"/>
              <w:pBdr>
                <w:top w:val="nil"/>
                <w:left w:val="nil"/>
                <w:bottom w:val="nil"/>
                <w:right w:val="nil"/>
                <w:between w:val="nil"/>
              </w:pBdr>
              <w:spacing w:line="240" w:lineRule="auto"/>
            </w:pPr>
            <w:r>
              <w:t>Step-by-Step Procedures</w:t>
            </w:r>
          </w:p>
          <w:p w14:paraId="08248363" w14:textId="1D27A804" w:rsidR="009A0D92" w:rsidRDefault="00CC7C22">
            <w:pPr>
              <w:widowControl w:val="0"/>
              <w:numPr>
                <w:ilvl w:val="0"/>
                <w:numId w:val="1"/>
              </w:numPr>
              <w:pBdr>
                <w:top w:val="nil"/>
                <w:left w:val="nil"/>
                <w:bottom w:val="nil"/>
                <w:right w:val="nil"/>
                <w:between w:val="nil"/>
              </w:pBdr>
              <w:spacing w:before="120" w:line="240" w:lineRule="auto"/>
            </w:pPr>
            <w:r>
              <w:t xml:space="preserve">Hand out the note-taking form to students. </w:t>
            </w:r>
            <w:hyperlink r:id="rId19">
              <w:r>
                <w:rPr>
                  <w:color w:val="1155CC"/>
                  <w:u w:val="single"/>
                </w:rPr>
                <w:t>Click h</w:t>
              </w:r>
              <w:r>
                <w:rPr>
                  <w:color w:val="1155CC"/>
                  <w:u w:val="single"/>
                </w:rPr>
                <w:t>e</w:t>
              </w:r>
              <w:r>
                <w:rPr>
                  <w:color w:val="1155CC"/>
                  <w:u w:val="single"/>
                </w:rPr>
                <w:t>re for form</w:t>
              </w:r>
            </w:hyperlink>
            <w:r>
              <w:t xml:space="preserve">. Explain each of the boxes. Alternatively, one student can take notes on </w:t>
            </w:r>
            <w:r>
              <w:t>a whiteboard or chart paper for other students to copy.</w:t>
            </w:r>
          </w:p>
          <w:p w14:paraId="7BD114D3" w14:textId="77777777" w:rsidR="009A0D92" w:rsidRDefault="00CC7C22">
            <w:pPr>
              <w:widowControl w:val="0"/>
              <w:numPr>
                <w:ilvl w:val="0"/>
                <w:numId w:val="1"/>
              </w:numPr>
              <w:pBdr>
                <w:top w:val="nil"/>
                <w:left w:val="nil"/>
                <w:bottom w:val="nil"/>
                <w:right w:val="nil"/>
                <w:between w:val="nil"/>
              </w:pBdr>
              <w:spacing w:line="240" w:lineRule="auto"/>
            </w:pPr>
            <w:r>
              <w:t>Explain how to complete an acrostic poem.</w:t>
            </w:r>
          </w:p>
          <w:p w14:paraId="1F18D4C5" w14:textId="3C6A5997" w:rsidR="009A0D92" w:rsidRDefault="00CC7C22">
            <w:pPr>
              <w:widowControl w:val="0"/>
              <w:numPr>
                <w:ilvl w:val="0"/>
                <w:numId w:val="1"/>
              </w:numPr>
              <w:pBdr>
                <w:top w:val="nil"/>
                <w:left w:val="nil"/>
                <w:bottom w:val="nil"/>
                <w:right w:val="nil"/>
                <w:between w:val="nil"/>
              </w:pBdr>
              <w:spacing w:line="240" w:lineRule="auto"/>
            </w:pPr>
            <w:r>
              <w:lastRenderedPageBreak/>
              <w:t xml:space="preserve">Ask students to complete in the acrostic poem about </w:t>
            </w:r>
            <w:r>
              <w:t>what they know about migrant workers or Cesar Chavez. This could be used as a pre</w:t>
            </w:r>
            <w:r w:rsidR="00063855">
              <w:t>-</w:t>
            </w:r>
            <w:r>
              <w:t>test.</w:t>
            </w:r>
          </w:p>
          <w:p w14:paraId="16A7559F" w14:textId="77777777" w:rsidR="009A0D92" w:rsidRDefault="00CC7C22">
            <w:pPr>
              <w:widowControl w:val="0"/>
              <w:numPr>
                <w:ilvl w:val="0"/>
                <w:numId w:val="1"/>
              </w:numPr>
              <w:pBdr>
                <w:top w:val="nil"/>
                <w:left w:val="nil"/>
                <w:bottom w:val="nil"/>
                <w:right w:val="nil"/>
                <w:between w:val="nil"/>
              </w:pBdr>
              <w:spacing w:line="240" w:lineRule="auto"/>
            </w:pPr>
            <w:r>
              <w:t xml:space="preserve">Ask students </w:t>
            </w:r>
            <w:r>
              <w:t>to define 3 migrant tools power words: Migrant, Short Handled Hoe, Potato Belt. Why do we associate these words with migrant work?</w:t>
            </w:r>
          </w:p>
          <w:p w14:paraId="2C8C7640" w14:textId="77777777" w:rsidR="009A0D92" w:rsidRDefault="00CC7C22">
            <w:pPr>
              <w:widowControl w:val="0"/>
              <w:numPr>
                <w:ilvl w:val="0"/>
                <w:numId w:val="1"/>
              </w:numPr>
              <w:pBdr>
                <w:top w:val="nil"/>
                <w:left w:val="nil"/>
                <w:bottom w:val="nil"/>
                <w:right w:val="nil"/>
                <w:between w:val="nil"/>
              </w:pBdr>
              <w:spacing w:line="240" w:lineRule="auto"/>
            </w:pPr>
            <w:r>
              <w:t>Tell students that they are going to learn about (1) a migrant girl and her family, (2) Cesar Chavez, and (3) local farm grow</w:t>
            </w:r>
            <w:r>
              <w:t>ers and local migrant workers. Also tell them that they may get a chance to learn more on their own.</w:t>
            </w:r>
          </w:p>
          <w:p w14:paraId="23A145A6" w14:textId="77777777" w:rsidR="009A0D92" w:rsidRDefault="00CC7C22">
            <w:pPr>
              <w:widowControl w:val="0"/>
              <w:numPr>
                <w:ilvl w:val="0"/>
                <w:numId w:val="1"/>
              </w:numPr>
              <w:pBdr>
                <w:top w:val="nil"/>
                <w:left w:val="nil"/>
                <w:bottom w:val="nil"/>
                <w:right w:val="nil"/>
                <w:between w:val="nil"/>
              </w:pBdr>
              <w:spacing w:line="240" w:lineRule="auto"/>
            </w:pPr>
            <w:r>
              <w:t>Show the slides. The teacher or another student can read the text with each slide. Pause frequently to allow students note taking time. Feel free to extend</w:t>
            </w:r>
            <w:r>
              <w:t xml:space="preserve"> or shorten the time for each slide.</w:t>
            </w:r>
          </w:p>
        </w:tc>
      </w:tr>
    </w:tbl>
    <w:p w14:paraId="156082B6" w14:textId="77777777" w:rsidR="009A0D92" w:rsidRDefault="009A0D92">
      <w:pPr>
        <w:pBdr>
          <w:top w:val="nil"/>
          <w:left w:val="nil"/>
          <w:bottom w:val="nil"/>
          <w:right w:val="nil"/>
          <w:between w:val="nil"/>
        </w:pBdr>
      </w:pPr>
    </w:p>
    <w:p w14:paraId="32834594" w14:textId="77777777" w:rsidR="009A0D92" w:rsidRDefault="009A0D92">
      <w:pPr>
        <w:pBdr>
          <w:top w:val="nil"/>
          <w:left w:val="nil"/>
          <w:bottom w:val="nil"/>
          <w:right w:val="nil"/>
          <w:between w:val="nil"/>
        </w:pBdr>
        <w:rPr>
          <w:b/>
          <w:sz w:val="28"/>
          <w:szCs w:val="28"/>
        </w:rPr>
      </w:pPr>
    </w:p>
    <w:p w14:paraId="711100DA" w14:textId="27103F6A" w:rsidR="009A0D92" w:rsidRDefault="00CC7C22">
      <w:pPr>
        <w:pBdr>
          <w:top w:val="nil"/>
          <w:left w:val="nil"/>
          <w:bottom w:val="nil"/>
          <w:right w:val="nil"/>
          <w:between w:val="nil"/>
        </w:pBdr>
        <w:rPr>
          <w:i/>
          <w:color w:val="FF0000"/>
        </w:rPr>
      </w:pPr>
      <w:bookmarkStart w:id="3" w:name="m091erue629w" w:colFirst="0" w:colLast="0"/>
      <w:bookmarkEnd w:id="3"/>
      <w:r>
        <w:rPr>
          <w:b/>
          <w:color w:val="274E13"/>
          <w:sz w:val="28"/>
          <w:szCs w:val="28"/>
        </w:rPr>
        <w:t xml:space="preserve">Evaluation/Assessment: </w:t>
      </w:r>
      <w:r>
        <w:rPr>
          <w:i/>
          <w:color w:val="FF0000"/>
        </w:rPr>
        <w:t xml:space="preserve">(Methods for collecting evidence of </w:t>
      </w:r>
      <w:r>
        <w:rPr>
          <w:i/>
          <w:color w:val="FF0000"/>
        </w:rPr>
        <w:t>student learning)</w:t>
      </w:r>
    </w:p>
    <w:p w14:paraId="345A8CFA" w14:textId="77777777" w:rsidR="009A0D92" w:rsidRDefault="00CC7C22">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9A0D92" w14:paraId="7A787AFB" w14:textId="77777777">
        <w:tc>
          <w:tcPr>
            <w:tcW w:w="9930" w:type="dxa"/>
            <w:shd w:val="clear" w:color="auto" w:fill="auto"/>
            <w:tcMar>
              <w:top w:w="100" w:type="dxa"/>
              <w:left w:w="100" w:type="dxa"/>
              <w:bottom w:w="100" w:type="dxa"/>
              <w:right w:w="100" w:type="dxa"/>
            </w:tcMar>
          </w:tcPr>
          <w:p w14:paraId="10DF2E50" w14:textId="77777777" w:rsidR="009A0D92" w:rsidRDefault="00CC7C22">
            <w:pPr>
              <w:widowControl w:val="0"/>
              <w:pBdr>
                <w:top w:val="nil"/>
                <w:left w:val="nil"/>
                <w:bottom w:val="nil"/>
                <w:right w:val="nil"/>
                <w:between w:val="nil"/>
              </w:pBdr>
              <w:spacing w:line="240" w:lineRule="auto"/>
            </w:pPr>
            <w:r>
              <w:t>Assessment and Measures of Learning:</w:t>
            </w:r>
          </w:p>
          <w:p w14:paraId="5D005E38" w14:textId="77777777" w:rsidR="009A0D92" w:rsidRDefault="009A0D92">
            <w:pPr>
              <w:widowControl w:val="0"/>
              <w:pBdr>
                <w:top w:val="nil"/>
                <w:left w:val="nil"/>
                <w:bottom w:val="nil"/>
                <w:right w:val="nil"/>
                <w:between w:val="nil"/>
              </w:pBdr>
              <w:spacing w:line="240" w:lineRule="auto"/>
            </w:pPr>
          </w:p>
          <w:p w14:paraId="722B7C28" w14:textId="374E6239" w:rsidR="009A0D92" w:rsidRDefault="00CC7C22">
            <w:pPr>
              <w:widowControl w:val="0"/>
              <w:numPr>
                <w:ilvl w:val="0"/>
                <w:numId w:val="2"/>
              </w:numPr>
              <w:pBdr>
                <w:top w:val="nil"/>
                <w:left w:val="nil"/>
                <w:bottom w:val="nil"/>
                <w:right w:val="nil"/>
                <w:between w:val="nil"/>
              </w:pBdr>
              <w:spacing w:line="240" w:lineRule="auto"/>
            </w:pPr>
            <w:r>
              <w:t xml:space="preserve">The note taking device can be collected and scored. </w:t>
            </w:r>
            <w:hyperlink r:id="rId20">
              <w:r>
                <w:rPr>
                  <w:color w:val="1155CC"/>
                  <w:u w:val="single"/>
                </w:rPr>
                <w:t>Click here for form</w:t>
              </w:r>
            </w:hyperlink>
            <w:r>
              <w:t xml:space="preserve">.  </w:t>
            </w:r>
          </w:p>
          <w:p w14:paraId="0947075E" w14:textId="77777777" w:rsidR="009A0D92" w:rsidRDefault="00CC7C22">
            <w:pPr>
              <w:widowControl w:val="0"/>
              <w:numPr>
                <w:ilvl w:val="0"/>
                <w:numId w:val="2"/>
              </w:numPr>
              <w:pBdr>
                <w:top w:val="nil"/>
                <w:left w:val="nil"/>
                <w:bottom w:val="nil"/>
                <w:right w:val="nil"/>
                <w:between w:val="nil"/>
              </w:pBdr>
              <w:spacing w:line="240" w:lineRule="auto"/>
            </w:pPr>
            <w:r>
              <w:t xml:space="preserve">Have the students complete a post-lesson acrostic </w:t>
            </w:r>
            <w:proofErr w:type="gramStart"/>
            <w:r>
              <w:t>poem.</w:t>
            </w:r>
            <w:proofErr w:type="gramEnd"/>
            <w:r>
              <w:t xml:space="preserve"> </w:t>
            </w:r>
          </w:p>
          <w:p w14:paraId="04F245F1" w14:textId="0861CA00" w:rsidR="009A0D92" w:rsidRPr="00063855" w:rsidRDefault="00CC7C22">
            <w:pPr>
              <w:widowControl w:val="0"/>
              <w:numPr>
                <w:ilvl w:val="0"/>
                <w:numId w:val="2"/>
              </w:numPr>
              <w:pBdr>
                <w:top w:val="nil"/>
                <w:left w:val="nil"/>
                <w:bottom w:val="nil"/>
                <w:right w:val="nil"/>
                <w:between w:val="nil"/>
              </w:pBdr>
              <w:spacing w:line="240" w:lineRule="auto"/>
            </w:pPr>
            <w:r>
              <w:t xml:space="preserve">Give a grade for participation in a Socratic Seminar (See Socratic Seminar questions at </w:t>
            </w:r>
            <w:hyperlink r:id="rId21">
              <w:r>
                <w:rPr>
                  <w:color w:val="1155CC"/>
                  <w:u w:val="single"/>
                </w:rPr>
                <w:t>the end of the sli</w:t>
              </w:r>
              <w:r>
                <w:rPr>
                  <w:color w:val="1155CC"/>
                  <w:u w:val="single"/>
                </w:rPr>
                <w:t>d</w:t>
              </w:r>
              <w:r>
                <w:rPr>
                  <w:color w:val="1155CC"/>
                  <w:u w:val="single"/>
                </w:rPr>
                <w:t>e show</w:t>
              </w:r>
            </w:hyperlink>
            <w:r w:rsidRPr="00063855">
              <w:t xml:space="preserve">) </w:t>
            </w:r>
            <w:r w:rsidR="00063855" w:rsidRPr="00063855">
              <w:t xml:space="preserve">Alternative Links: </w:t>
            </w:r>
            <w:hyperlink r:id="rId22" w:history="1">
              <w:r w:rsidR="00063855" w:rsidRPr="00063855">
                <w:rPr>
                  <w:rStyle w:val="Hyperlink"/>
                </w:rPr>
                <w:t>Part 1</w:t>
              </w:r>
            </w:hyperlink>
            <w:r w:rsidR="00063855" w:rsidRPr="00063855">
              <w:t xml:space="preserve"> &amp; </w:t>
            </w:r>
            <w:hyperlink r:id="rId23" w:history="1">
              <w:r w:rsidR="00063855" w:rsidRPr="00063855">
                <w:rPr>
                  <w:rStyle w:val="Hyperlink"/>
                </w:rPr>
                <w:t xml:space="preserve">Part 2 </w:t>
              </w:r>
            </w:hyperlink>
          </w:p>
          <w:p w14:paraId="5D71E925" w14:textId="4DA241B7" w:rsidR="009A0D92" w:rsidRDefault="00CC7C22">
            <w:pPr>
              <w:widowControl w:val="0"/>
              <w:numPr>
                <w:ilvl w:val="0"/>
                <w:numId w:val="2"/>
              </w:numPr>
              <w:pBdr>
                <w:top w:val="nil"/>
                <w:left w:val="nil"/>
                <w:bottom w:val="nil"/>
                <w:right w:val="nil"/>
                <w:between w:val="nil"/>
              </w:pBdr>
              <w:spacing w:line="240" w:lineRule="auto"/>
            </w:pPr>
            <w:r>
              <w:t>The teacher can sele</w:t>
            </w:r>
            <w:r>
              <w:t>ct a single extension activity for all students to complete or can allow students to choose a topic from a short list.</w:t>
            </w:r>
            <w:r>
              <w:t xml:space="preserve"> </w:t>
            </w:r>
            <w:hyperlink r:id="rId24">
              <w:r>
                <w:rPr>
                  <w:color w:val="1155CC"/>
                  <w:u w:val="single"/>
                </w:rPr>
                <w:t>Extension Activi</w:t>
              </w:r>
              <w:r>
                <w:rPr>
                  <w:color w:val="1155CC"/>
                  <w:u w:val="single"/>
                </w:rPr>
                <w:t xml:space="preserve">ties are at </w:t>
              </w:r>
              <w:r>
                <w:rPr>
                  <w:color w:val="1155CC"/>
                  <w:u w:val="single"/>
                </w:rPr>
                <w:t>t</w:t>
              </w:r>
              <w:r>
                <w:rPr>
                  <w:color w:val="1155CC"/>
                  <w:u w:val="single"/>
                </w:rPr>
                <w:t>he end of the slide show</w:t>
              </w:r>
            </w:hyperlink>
            <w:r>
              <w:t xml:space="preserve">. </w:t>
            </w:r>
            <w:r w:rsidR="00063855" w:rsidRPr="00063855">
              <w:rPr>
                <w:bCs/>
              </w:rPr>
              <w:t xml:space="preserve">Alternative Links: </w:t>
            </w:r>
            <w:hyperlink r:id="rId25" w:history="1">
              <w:r w:rsidR="00063855" w:rsidRPr="00063855">
                <w:rPr>
                  <w:rStyle w:val="Hyperlink"/>
                  <w:bCs/>
                </w:rPr>
                <w:t>Part 1</w:t>
              </w:r>
            </w:hyperlink>
            <w:r w:rsidR="00063855" w:rsidRPr="00063855">
              <w:rPr>
                <w:bCs/>
              </w:rPr>
              <w:t xml:space="preserve"> &amp; </w:t>
            </w:r>
            <w:hyperlink r:id="rId26" w:history="1">
              <w:r w:rsidR="00063855" w:rsidRPr="00063855">
                <w:rPr>
                  <w:rStyle w:val="Hyperlink"/>
                  <w:bCs/>
                </w:rPr>
                <w:t>Part 2</w:t>
              </w:r>
              <w:r w:rsidR="00063855" w:rsidRPr="00043813">
                <w:rPr>
                  <w:rStyle w:val="Hyperlink"/>
                  <w:b/>
                </w:rPr>
                <w:t xml:space="preserve"> </w:t>
              </w:r>
            </w:hyperlink>
          </w:p>
          <w:p w14:paraId="760A0BED" w14:textId="77777777" w:rsidR="009A0D92" w:rsidRDefault="009A0D92">
            <w:pPr>
              <w:widowControl w:val="0"/>
              <w:pBdr>
                <w:top w:val="nil"/>
                <w:left w:val="nil"/>
                <w:bottom w:val="nil"/>
                <w:right w:val="nil"/>
                <w:between w:val="nil"/>
              </w:pBdr>
              <w:spacing w:line="240" w:lineRule="auto"/>
              <w:rPr>
                <w:b/>
              </w:rPr>
            </w:pPr>
            <w:bookmarkStart w:id="4" w:name="_GoBack"/>
            <w:bookmarkEnd w:id="4"/>
          </w:p>
        </w:tc>
      </w:tr>
    </w:tbl>
    <w:p w14:paraId="7B12E0FF" w14:textId="77777777" w:rsidR="009A0D92" w:rsidRDefault="009A0D92">
      <w:pPr>
        <w:pBdr>
          <w:top w:val="nil"/>
          <w:left w:val="nil"/>
          <w:bottom w:val="nil"/>
          <w:right w:val="nil"/>
          <w:between w:val="nil"/>
        </w:pBdr>
        <w:rPr>
          <w:b/>
          <w:sz w:val="28"/>
          <w:szCs w:val="28"/>
        </w:rPr>
      </w:pPr>
    </w:p>
    <w:p w14:paraId="1E4E938B" w14:textId="77777777" w:rsidR="009A0D92" w:rsidRDefault="009A0D92">
      <w:pPr>
        <w:pBdr>
          <w:top w:val="nil"/>
          <w:left w:val="nil"/>
          <w:bottom w:val="nil"/>
          <w:right w:val="nil"/>
          <w:between w:val="nil"/>
        </w:pBdr>
        <w:rPr>
          <w:b/>
          <w:sz w:val="28"/>
          <w:szCs w:val="28"/>
        </w:rPr>
      </w:pPr>
    </w:p>
    <w:sectPr w:rsidR="009A0D92">
      <w:headerReference w:type="default" r:id="rId27"/>
      <w:footerReference w:type="default" r:id="rId28"/>
      <w:headerReference w:type="first" r:id="rId29"/>
      <w:footerReference w:type="first" r:id="rId30"/>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8CF25" w14:textId="77777777" w:rsidR="00CC7C22" w:rsidRDefault="00CC7C22">
      <w:pPr>
        <w:spacing w:line="240" w:lineRule="auto"/>
      </w:pPr>
      <w:r>
        <w:separator/>
      </w:r>
    </w:p>
  </w:endnote>
  <w:endnote w:type="continuationSeparator" w:id="0">
    <w:p w14:paraId="150C0FD7" w14:textId="77777777" w:rsidR="00CC7C22" w:rsidRDefault="00CC7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73165" w14:textId="77777777" w:rsidR="009A0D92" w:rsidRDefault="00CC7C22">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rPr>
        <w:noProof/>
      </w:rPr>
      <w:drawing>
        <wp:anchor distT="114300" distB="114300" distL="114300" distR="114300" simplePos="0" relativeHeight="251659264" behindDoc="0" locked="0" layoutInCell="1" hidden="0" allowOverlap="1" wp14:anchorId="1B11BCAA" wp14:editId="127F8659">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8774" w14:textId="77777777" w:rsidR="009A0D92" w:rsidRDefault="009A0D92">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D09FD" w14:textId="77777777" w:rsidR="00CC7C22" w:rsidRDefault="00CC7C22">
      <w:pPr>
        <w:spacing w:line="240" w:lineRule="auto"/>
      </w:pPr>
      <w:r>
        <w:separator/>
      </w:r>
    </w:p>
  </w:footnote>
  <w:footnote w:type="continuationSeparator" w:id="0">
    <w:p w14:paraId="78ABBF91" w14:textId="77777777" w:rsidR="00CC7C22" w:rsidRDefault="00CC7C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771" w14:textId="77777777" w:rsidR="009A0D92" w:rsidRDefault="009A0D92">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7B70" w14:textId="77777777" w:rsidR="009A0D92" w:rsidRDefault="00CC7C22">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4151CDD6" wp14:editId="7A526BD9">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2" name="image2.png" descr="BCLHP_Logo_v2_0.png"/>
          <wp:cNvGraphicFramePr/>
          <a:graphic xmlns:a="http://schemas.openxmlformats.org/drawingml/2006/main">
            <a:graphicData uri="http://schemas.openxmlformats.org/drawingml/2006/picture">
              <pic:pic xmlns:pic="http://schemas.openxmlformats.org/drawingml/2006/picture">
                <pic:nvPicPr>
                  <pic:cNvPr id="0" name="image2.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4D3B6F7F" w14:textId="77777777" w:rsidR="009A0D92" w:rsidRDefault="009A0D92">
    <w:pPr>
      <w:pBdr>
        <w:top w:val="nil"/>
        <w:left w:val="nil"/>
        <w:bottom w:val="nil"/>
        <w:right w:val="nil"/>
        <w:between w:val="nil"/>
      </w:pBdr>
      <w:jc w:val="center"/>
    </w:pPr>
  </w:p>
  <w:p w14:paraId="7C3145FB" w14:textId="77777777" w:rsidR="009A0D92" w:rsidRDefault="00CC7C22">
    <w:pPr>
      <w:pBdr>
        <w:top w:val="nil"/>
        <w:left w:val="nil"/>
        <w:bottom w:val="nil"/>
        <w:right w:val="nil"/>
        <w:between w:val="nil"/>
      </w:pBdr>
      <w:jc w:val="center"/>
      <w:rPr>
        <w:b/>
        <w:color w:val="274E13"/>
        <w:sz w:val="32"/>
        <w:szCs w:val="32"/>
      </w:rPr>
    </w:pPr>
    <w:r>
      <w:rPr>
        <w:sz w:val="28"/>
        <w:szCs w:val="28"/>
      </w:rPr>
      <w:tab/>
    </w:r>
    <w:r>
      <w:rPr>
        <w:b/>
        <w:color w:val="274E13"/>
        <w:sz w:val="32"/>
        <w:szCs w:val="32"/>
      </w:rPr>
      <w:t xml:space="preserve">Boulder County Latino History Project </w:t>
    </w:r>
  </w:p>
  <w:p w14:paraId="0956AF24" w14:textId="77777777" w:rsidR="009A0D92" w:rsidRDefault="00CC7C22">
    <w:pPr>
      <w:pBdr>
        <w:top w:val="nil"/>
        <w:left w:val="nil"/>
        <w:bottom w:val="nil"/>
        <w:right w:val="nil"/>
        <w:between w:val="nil"/>
      </w:pBdr>
      <w:jc w:val="center"/>
      <w:rPr>
        <w:b/>
        <w:color w:val="274E13"/>
        <w:sz w:val="32"/>
        <w:szCs w:val="32"/>
      </w:rPr>
    </w:pPr>
    <w:r>
      <w:rPr>
        <w:b/>
        <w:color w:val="274E13"/>
        <w:sz w:val="32"/>
        <w:szCs w:val="32"/>
      </w:rPr>
      <w:t xml:space="preserve">Lesson Plans </w:t>
    </w:r>
  </w:p>
  <w:p w14:paraId="5D899C6B" w14:textId="77777777" w:rsidR="009A0D92" w:rsidRDefault="009A0D92">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E8E"/>
    <w:multiLevelType w:val="multilevel"/>
    <w:tmpl w:val="B4E40CDA"/>
    <w:lvl w:ilvl="0">
      <w:start w:val="1"/>
      <w:numFmt w:val="decimal"/>
      <w:lvlText w:val="%1."/>
      <w:lvlJc w:val="right"/>
      <w:pPr>
        <w:ind w:left="720" w:hanging="360"/>
      </w:pPr>
      <w:rPr>
        <w:rFonts w:ascii="Arial" w:eastAsia="Arial" w:hAnsi="Arial" w:cs="Arial"/>
        <w:b w:val="0"/>
        <w:i w:val="0"/>
        <w:smallCaps w:val="0"/>
        <w:strike w:val="0"/>
        <w:color w:val="000000"/>
        <w:sz w:val="60"/>
        <w:szCs w:val="60"/>
        <w:u w:val="none"/>
        <w:shd w:val="clear" w:color="auto" w:fill="auto"/>
        <w:vertAlign w:val="baseline"/>
      </w:rPr>
    </w:lvl>
    <w:lvl w:ilvl="1">
      <w:start w:val="1"/>
      <w:numFmt w:val="decimal"/>
      <w:lvlText w:val="%1.%2."/>
      <w:lvlJc w:val="right"/>
      <w:pPr>
        <w:ind w:left="1440" w:hanging="360"/>
      </w:pPr>
      <w:rPr>
        <w:rFonts w:ascii="Arial" w:eastAsia="Arial" w:hAnsi="Arial" w:cs="Arial"/>
        <w:b w:val="0"/>
        <w:i w:val="0"/>
        <w:smallCaps w:val="0"/>
        <w:strike w:val="0"/>
        <w:color w:val="000000"/>
        <w:sz w:val="48"/>
        <w:szCs w:val="48"/>
        <w:u w:val="none"/>
        <w:shd w:val="clear" w:color="auto" w:fill="auto"/>
        <w:vertAlign w:val="baseline"/>
      </w:rPr>
    </w:lvl>
    <w:lvl w:ilvl="2">
      <w:start w:val="1"/>
      <w:numFmt w:val="decimal"/>
      <w:lvlText w:val="%1.%2.%3."/>
      <w:lvlJc w:val="right"/>
      <w:pPr>
        <w:ind w:left="2160" w:hanging="360"/>
      </w:pPr>
      <w:rPr>
        <w:rFonts w:ascii="Arial" w:eastAsia="Arial" w:hAnsi="Arial" w:cs="Arial"/>
        <w:b w:val="0"/>
        <w:i w:val="0"/>
        <w:smallCaps w:val="0"/>
        <w:strike w:val="0"/>
        <w:color w:val="000000"/>
        <w:sz w:val="48"/>
        <w:szCs w:val="48"/>
        <w:u w:val="none"/>
        <w:shd w:val="clear" w:color="auto" w:fill="auto"/>
        <w:vertAlign w:val="baseline"/>
      </w:rPr>
    </w:lvl>
    <w:lvl w:ilvl="3">
      <w:start w:val="1"/>
      <w:numFmt w:val="decimal"/>
      <w:lvlText w:val="%1.%2.%3.%4."/>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decimal"/>
      <w:lvlText w:val="%1.%2.%3.%4.%5."/>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decimal"/>
      <w:lvlText w:val="%1.%2.%3.%4.%5.%6."/>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1.%2.%3.%4.%5.%6.%7."/>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decimal"/>
      <w:lvlText w:val="%1.%2.%3.%4.%5.%6.%7.%8."/>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decimal"/>
      <w:lvlText w:val="%1.%2.%3.%4.%5.%6.%7.%8.%9."/>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 w15:restartNumberingAfterBreak="0">
    <w:nsid w:val="20D83FEC"/>
    <w:multiLevelType w:val="multilevel"/>
    <w:tmpl w:val="DDFA54F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92"/>
    <w:rsid w:val="00043813"/>
    <w:rsid w:val="00063855"/>
    <w:rsid w:val="000C03F2"/>
    <w:rsid w:val="009A0D92"/>
    <w:rsid w:val="00B909FB"/>
    <w:rsid w:val="00CC7C22"/>
    <w:rsid w:val="00E7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A654"/>
  <w15:docId w15:val="{8DB5FEF0-6D0A-4B16-A24A-5D783BE0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43813"/>
    <w:rPr>
      <w:color w:val="0000FF" w:themeColor="hyperlink"/>
      <w:u w:val="single"/>
    </w:rPr>
  </w:style>
  <w:style w:type="character" w:styleId="UnresolvedMention">
    <w:name w:val="Unresolved Mention"/>
    <w:basedOn w:val="DefaultParagraphFont"/>
    <w:uiPriority w:val="99"/>
    <w:semiHidden/>
    <w:unhideWhenUsed/>
    <w:rsid w:val="00043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wp-content/uploads/2016/02/Tools-that-sustain-part-1.pdf" TargetMode="External"/><Relationship Id="rId13" Type="http://schemas.openxmlformats.org/officeDocument/2006/relationships/hyperlink" Target="http://teachbocolatinohistory.colorado.edu/wp-content/uploads/2016/02/Tools-that-sustain-part-1.pdf" TargetMode="External"/><Relationship Id="rId18" Type="http://schemas.openxmlformats.org/officeDocument/2006/relationships/hyperlink" Target="https://youtu.be/-yDOjZMON78" TargetMode="External"/><Relationship Id="rId26" Type="http://schemas.openxmlformats.org/officeDocument/2006/relationships/hyperlink" Target="http://teachbocolatinohistory.colorado.edu/wp-content/uploads/2016/02/Tools-that-sustain-part-2.pdf" TargetMode="External"/><Relationship Id="rId3" Type="http://schemas.openxmlformats.org/officeDocument/2006/relationships/settings" Target="settings.xml"/><Relationship Id="rId21" Type="http://schemas.openxmlformats.org/officeDocument/2006/relationships/hyperlink" Target="https://docs.google.com/presentation/d/1EDSjpmNfpwNjnoBoycHbJqqHyIsgcxE4e_gAGsU_p-A/edit?usp=sharing" TargetMode="External"/><Relationship Id="rId7" Type="http://schemas.openxmlformats.org/officeDocument/2006/relationships/hyperlink" Target="https://docs.google.com/presentation/d/1EDSjpmNfpwNjnoBoycHbJqqHyIsgcxE4e_gAGsU_p-A/edit?usp=sharing" TargetMode="External"/><Relationship Id="rId12" Type="http://schemas.openxmlformats.org/officeDocument/2006/relationships/hyperlink" Target="https://docs.google.com/presentation/d/1EDSjpmNfpwNjnoBoycHbJqqHyIsgcxE4e_gAGsU_p-A/edit?usp=sharing" TargetMode="External"/><Relationship Id="rId17" Type="http://schemas.openxmlformats.org/officeDocument/2006/relationships/hyperlink" Target="https://youtu.be/-yDOjZMON78" TargetMode="External"/><Relationship Id="rId25" Type="http://schemas.openxmlformats.org/officeDocument/2006/relationships/hyperlink" Target="http://teachbocolatinohistory.colorado.edu/wp-content/uploads/2016/02/Tools-that-sustain-part-1.pdf" TargetMode="External"/><Relationship Id="rId2" Type="http://schemas.openxmlformats.org/officeDocument/2006/relationships/styles" Target="styles.xml"/><Relationship Id="rId16" Type="http://schemas.openxmlformats.org/officeDocument/2006/relationships/hyperlink" Target="https://www.youtube.com/watch?v=yuO9t0Y1rmg" TargetMode="External"/><Relationship Id="rId20" Type="http://schemas.openxmlformats.org/officeDocument/2006/relationships/hyperlink" Target="http://teachbocolatinohistory.colorado.edu/wp-content/uploads/2016/02/Student-Note-Taking-Form-Migrant-Workers-Tools-that-Sustain.ppt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UJvQy9aVVs" TargetMode="External"/><Relationship Id="rId24" Type="http://schemas.openxmlformats.org/officeDocument/2006/relationships/hyperlink" Target="https://docs.google.com/presentation/d/1EDSjpmNfpwNjnoBoycHbJqqHyIsgcxE4e_gAGsU_p-A/edit?usp=shar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NUJvQy9aVVs" TargetMode="External"/><Relationship Id="rId23" Type="http://schemas.openxmlformats.org/officeDocument/2006/relationships/hyperlink" Target="http://teachbocolatinohistory.colorado.edu/wp-content/uploads/2016/02/Tools-that-sustain-part-2.pdf" TargetMode="External"/><Relationship Id="rId28" Type="http://schemas.openxmlformats.org/officeDocument/2006/relationships/footer" Target="footer1.xml"/><Relationship Id="rId10" Type="http://schemas.openxmlformats.org/officeDocument/2006/relationships/hyperlink" Target="http://teachbocolatinohistory.colorado.edu/wp-content/uploads/2016/02/Student-Note-Taking-Form-Migrant-Workers-Tools-that-Sustain.pptx" TargetMode="External"/><Relationship Id="rId19" Type="http://schemas.openxmlformats.org/officeDocument/2006/relationships/hyperlink" Target="http://teachbocolatinohistory.colorado.edu/wp-content/uploads/2016/02/Student-Note-Taking-Form-Migrant-Workers-Tools-that-Sustain.ppt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achbocolatinohistory.colorado.edu/wp-content/uploads/2016/02/Tools-that-sustain-part-2.pdf" TargetMode="External"/><Relationship Id="rId14" Type="http://schemas.openxmlformats.org/officeDocument/2006/relationships/hyperlink" Target="http://teachbocolatinohistory.colorado.edu/wp-content/uploads/2016/02/Tools-that-sustain-part-2.pdf" TargetMode="External"/><Relationship Id="rId22" Type="http://schemas.openxmlformats.org/officeDocument/2006/relationships/hyperlink" Target="http://teachbocolatinohistory.colorado.edu/wp-content/uploads/2016/02/Tools-that-sustain-part-1.pdf"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2019-12-03T21:31:00Z</cp:lastPrinted>
  <dcterms:created xsi:type="dcterms:W3CDTF">2019-12-03T21:31:00Z</dcterms:created>
  <dcterms:modified xsi:type="dcterms:W3CDTF">2019-12-03T21:31:00Z</dcterms:modified>
</cp:coreProperties>
</file>